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firstLine="360"/>
        <w:contextualSpacing w:val="0"/>
        <w:jc w:val="center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8"/>
          <w:szCs w:val="48"/>
          <w:rtl w:val="0"/>
        </w:rPr>
        <w:t xml:space="preserve">Edukacyjne wyzwania przyszłości. Rozwój oparty na technologiach cyfrowych</w:t>
      </w:r>
    </w:p>
    <w:p w:rsidR="00000000" w:rsidDel="00000000" w:rsidP="00000000" w:rsidRDefault="00000000" w:rsidRPr="00000000" w14:paraId="00000001">
      <w:pPr>
        <w:spacing w:after="0" w:line="240" w:lineRule="auto"/>
        <w:ind w:firstLine="360"/>
        <w:contextualSpacing w:val="0"/>
        <w:jc w:val="center"/>
        <w:rPr>
          <w:rFonts w:ascii="Rubik" w:cs="Rubik" w:eastAsia="Rubik" w:hAnsi="Rubik"/>
          <w:b w:val="1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b w:val="1"/>
          <w:sz w:val="28"/>
          <w:szCs w:val="28"/>
          <w:rtl w:val="0"/>
        </w:rPr>
        <w:t xml:space="preserve">Grzegorz Stunża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Trwa debata na temat korzystania z cyfrowych urządzeń mobilnych w szkole. Niektóre placówki zakazują używania ich na lekcjach, nawet do celów dydaktycznych. Niektóre organizacje proponują ograniczanie i zliczanie czasu korzystania. Potencjał edukacyjnego zastosowania nowych technologii, chociaż omawiany przez nauczycielki/i i ekspertki/ów zaangażowanych w działania edukacyjne, nie jest szczególnie doceniany w szkolnictwie. </w:t>
      </w:r>
      <w:r w:rsidDel="00000000" w:rsidR="00000000" w:rsidRPr="00000000">
        <w:rPr>
          <w:rFonts w:ascii="Rubik" w:cs="Rubik" w:eastAsia="Rubik" w:hAnsi="Rubik"/>
          <w:color w:val="333333"/>
          <w:sz w:val="24"/>
          <w:szCs w:val="24"/>
          <w:highlight w:val="white"/>
          <w:rtl w:val="0"/>
        </w:rPr>
        <w:t xml:space="preserve">Podczas gdy skupiamy się na rozważaniu zagrożeń, nowe technologie są wprowadzane i używane na coraz szerszą skalę. Lepiej zastanowić się, jak wykorzystać nowe narzędzia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do usprawniania systemu edukacyjnego, ale również zbliżenia szkoły do rzeczywistości spoza szkolnych murów.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Chcemy czy nie, rzeczywistość przetykana jest mediami cyfrowymi. Nie ma nastolatków bez smartfonów (pomijam wyjątkowe przypadki) i (niemal) wszystkie korzystają z serwisów społecznościowych. Młodzi codziennie tworzą treści medialne. Tymczasem system edukacyjny próbuje wprowadzać nowe urządzenia wciąż w postaci wydzielonych pracowni komputerowych, rzutników lub tablic interaktywnych, które nie zmieniają niczego w komunikacji nauczycieli_ek z uczniami i uczennicami. Ci natomiast tworzą rzeczywistość rówieśniczą za pomocą swoich urządzeń, korzystając z cyfrowych kanałów komunikowania. Jednocześnie niewiele nauczycielek i nauczycieli próbuje wdrażać zasadę BYOD (</w:t>
      </w:r>
      <w:r w:rsidDel="00000000" w:rsidR="00000000" w:rsidRPr="00000000">
        <w:rPr>
          <w:rFonts w:ascii="Rubik" w:cs="Rubik" w:eastAsia="Rubik" w:hAnsi="Rubik"/>
          <w:i w:val="1"/>
          <w:sz w:val="24"/>
          <w:szCs w:val="24"/>
          <w:rtl w:val="0"/>
        </w:rPr>
        <w:t xml:space="preserve">bring your own device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), czyli bazować na sprzęcie uczniów. Dyskusja o szkodliwości urządzeń i czasie korzystania z nowych technologii zamknęła wielu osobom, również innowatorom, oczy na rozwiązania, które są wdrażane przez biznes, twórców serwisów społecznościowych i kreatorów nowości edukacyjnych. 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Sztuczna inteligencja, wirtualna rzeczywistość, rozszerzona rzeczywistość. Pracuję na co dzień ze student(k)ami pedagogiki – ludźmi w wieku 18–19 lat, ale również w średnim wieku na studiach niestacjonarnych, a od czasu do czasu ze student(k)ami filologicznych kierunków nauczycielskich. Większość osób albo nie zna wspomnianych terminów, albo w ogóle nie zastanawia się nad funkcjonowaniem tych zjawisk i ich obecnością w różnych aspektach naszego życia. Tymczasem robotyzacja wielu zawodów trwa, co powinno interesować pedagogów, przekłada się bowiem na sens kształcenia, cele, ale również metody, narzędzia i wykorzystywane treści.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Wyzwania stojące obecnie przed edukacyjnymi planist(k)ami i decydent(k)ami, ale również kadrą zarządzającą oświaty i nauczyciel(k)ami, a także podmiotami realizującymi nieformalne działania edukacyjne, są następujące:</w:t>
      </w:r>
    </w:p>
    <w:p w:rsidR="00000000" w:rsidDel="00000000" w:rsidP="00000000" w:rsidRDefault="00000000" w:rsidRPr="00000000" w14:paraId="0000000A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wykorzystanie potencjału mobilnych technologii w edukacji, twórczości, komunikowaniu i budowaniu społeczności (korzystanie z serwisów społecznościowych, z narzędzi do dzielenia plików, wspólnego tworzenia, planowania i zarządzania projektami);</w:t>
      </w:r>
    </w:p>
    <w:p w:rsidR="00000000" w:rsidDel="00000000" w:rsidP="00000000" w:rsidRDefault="00000000" w:rsidRPr="00000000" w14:paraId="0000000B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zwrócenie uwagi na zawody zagrożone automatyzacją i zastąpieniem przez maszyny lub oprogramowanie;</w:t>
      </w:r>
    </w:p>
    <w:p w:rsidR="00000000" w:rsidDel="00000000" w:rsidP="00000000" w:rsidRDefault="00000000" w:rsidRPr="00000000" w14:paraId="0000000C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zrozumienie, że nowe technologie mogą w krótkim czasie spowodować rozwój narzędzi rozszerzonej rzeczywistości i być może nawet przenieść aktywność ze smartfonów na okulary z dostępem do sieci. Poznanie narzędzi pozwalających na korzystanie z interfejsów i treści naniesionych na rzeczywistość fizyczną. Przy czym już teraz funkcjonują narzędzia pozwalające na np. rozszerzanie klasy szkolnej przez udostępnianie w niej treści widocznych na ścianach, tablicy itp. przez smartfony;</w:t>
      </w:r>
    </w:p>
    <w:p w:rsidR="00000000" w:rsidDel="00000000" w:rsidP="00000000" w:rsidRDefault="00000000" w:rsidRPr="00000000" w14:paraId="0000000D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rozpoznanie potencjału i korzystanie z wirtualnej rzeczywistości, rozumianej jako rzeczywistość dostępna przez narzędzia umożliwiające zanurzenie (choćby wizualne i słuchowe) w środowiskach generowanych przez cyfrowe technologie (hełmy, gogle itp.), a nie np. korzystanie z Facebooka (chociaż można z niego korzystać w ramach wirtualnej rzeczywistości, oglądając zdjęcia i filmy w trybie 360 stopni).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Wymienione tematy to tylko część wyzwań, jakie stoją przed nami. Lista jest płynna i poszerza się o kolejne wątki, podczas gdy inne mogą się niebawem stać nieistotne lub wymagać nowego, świeżego podejścia. Przygotowanie się do świata edukacyjnej przyszłości, który nierównomiernie w różnych miejscach globu już funkcjonuje, ale również przygotowanie dzisiejszych młodych ludzi do zmieniającej się szybko rzeczywistości opartej na cyfrowych technologiach i zapośredniczonej komunikacji, działającej obecnie również jako symulacja komunikacji niezapośredniczonej (np. przez komunikowanie w wirtualnej rzeczywistości) wymaga przede wszystkim dostrzegania zmian, nowych narzędzi, oceny ich potencjału oraz refleksji na temat kompetencji potrzebnych w niedalekiej przyszłości, gdy pojawią się zawody, o których obecnie nie mamy pojęcia.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Co zrobić, żeby edukacja nie była oderwana od zmieniającego się świata, gdzie cyfrowe technologie coraz częściej zastępują ludzi w różnych obszarach funkcjonowania? Kilka propozycji:</w:t>
      </w:r>
    </w:p>
    <w:p w:rsidR="00000000" w:rsidDel="00000000" w:rsidP="00000000" w:rsidRDefault="00000000" w:rsidRPr="00000000" w14:paraId="00000012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Buduj relacje z uczniami, uczennicami. W klasie, ale również poza nią. Coraz trudniej dostać się do miejsc i przestrzeni komunikowania młodych, ale można zorganizować własne miejsca dodatkowego kontaktu, również do celów edukacyjnych, np. grupę w serwisie społecznościowym.</w:t>
      </w:r>
    </w:p>
    <w:p w:rsidR="00000000" w:rsidDel="00000000" w:rsidP="00000000" w:rsidRDefault="00000000" w:rsidRPr="00000000" w14:paraId="00000013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Pytaj uczniów i uczennic, co jest teraz ważne, jakie trendy są dla nich istotne, które technologie są dla nich najważniejsze i jakie funkcjonują zasady komunikowania. Poproś, by pokazali ci kanały komunikowania i niezbędne  ich zdaniem narzędzia i by wprowadzili cię do ich korzystania.</w:t>
      </w:r>
    </w:p>
    <w:p w:rsidR="00000000" w:rsidDel="00000000" w:rsidP="00000000" w:rsidRDefault="00000000" w:rsidRPr="00000000" w14:paraId="00000014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Spróbuj wykorzystać zaangażowanie uczniów i uczennic w tworzenie treści. Instagram, Facebook, publikowanie zdjęć i wideo –oni chcą tworzyć i mają do tego narzędzia. To niezły wstęp do przygotowania projektu na zajęcia lub w ramach dodatkowego, wspólnego uczenia się.</w:t>
      </w:r>
    </w:p>
    <w:p w:rsidR="00000000" w:rsidDel="00000000" w:rsidP="00000000" w:rsidRDefault="00000000" w:rsidRPr="00000000" w14:paraId="00000015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Nie walcz z ich zwyczajami – np. nie zmuszaj do komunikacji pocztą elektroniczną, kiedy wolą kontakt przez Messengera. Chętniej i częściej  będą w kontakcie, jeśli skorzystasz z preferowanych przez nich kanałów.</w:t>
      </w:r>
    </w:p>
    <w:p w:rsidR="00000000" w:rsidDel="00000000" w:rsidP="00000000" w:rsidRDefault="00000000" w:rsidRPr="00000000" w14:paraId="00000016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Szukaj interesujących materiałów w sieci. Tych, które można wykorzystać w ramach dozwolonego użytku edukacyjnego, ale przede wszystkim takich, które będzie można modyfikować, a ich ewentualne przeróbki, remiksy itp. legalnie opublikować jako materiały promujące szkołę, klasę. </w:t>
      </w:r>
    </w:p>
    <w:p w:rsidR="00000000" w:rsidDel="00000000" w:rsidP="00000000" w:rsidRDefault="00000000" w:rsidRPr="00000000" w14:paraId="00000017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- Pamiętaj, że otwarte materiały – np. scenariusze lekcji, które można przerabiać i dostosowywać do swoich potrzeb, oraz zdjęcia, filmy, grafiki i ikony, które można modyfikować i włączać do nowo powstających prac to dobra platforma rozwijania kreatywności, świadomości potencjału nowych technologii i przygotowania do samodzielnego poszukiwania narzędzi i treści.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360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W rzeczywistości przyspieszonej przez nieustające wprowadzanie technologicznych nowości warto rozwijać ludzki potencjał – refleksyjność, kreatywność, wspólne działanie, dzielenie się materiałami, pomysłami i wspólne tworzenie. Maszyny będą się rozwijać i zastępować nas tam, gdzie są od nas lepsze. Otwarte podejście do edukacji to szansa na ciekawe działania, rozwój, ale i pracę dla osób, które dopiero za kilka lub kilkanaście lat będą aktywne zawodowo. Warto o tym pamiętać.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8"/>
        <w:contextualSpacing w:val="0"/>
        <w:rPr>
          <w:rFonts w:ascii="Rubik" w:cs="Rubik" w:eastAsia="Rubik" w:hAnsi="Rubik"/>
          <w:sz w:val="24"/>
          <w:szCs w:val="24"/>
        </w:rPr>
      </w:pPr>
      <w:bookmarkStart w:colFirst="0" w:colLast="0" w:name="_lomv9z1185tz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3261" w:left="709" w:right="849" w:header="708" w:footer="16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147320</wp:posOffset>
          </wp:positionH>
          <wp:positionV relativeFrom="paragraph">
            <wp:posOffset>320040</wp:posOffset>
          </wp:positionV>
          <wp:extent cx="456565" cy="531495"/>
          <wp:effectExtent b="0" l="0" r="0" t="0"/>
          <wp:wrapSquare wrapText="bothSides" distB="0" distT="0" distL="0" distR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6565" cy="5314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posOffset>4889500</wp:posOffset>
              </wp:positionH>
              <wp:positionV relativeFrom="paragraph">
                <wp:posOffset>261620</wp:posOffset>
              </wp:positionV>
              <wp:extent cx="1818005" cy="141084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41760" y="3078643"/>
                        <a:ext cx="1808480" cy="1402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Projekt realizowany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przez Centrum Cyfrowe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ze środków Hewllet Foundation </w:t>
                          </w: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i Open Society Foundations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posOffset>4889500</wp:posOffset>
              </wp:positionH>
              <wp:positionV relativeFrom="paragraph">
                <wp:posOffset>261620</wp:posOffset>
              </wp:positionV>
              <wp:extent cx="1818005" cy="1410848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8005" cy="14108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38101</wp:posOffset>
              </wp:positionH>
              <wp:positionV relativeFrom="paragraph">
                <wp:posOffset>-12699</wp:posOffset>
              </wp:positionV>
              <wp:extent cx="6543675" cy="222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074163" y="3775028"/>
                        <a:ext cx="6543675" cy="9945"/>
                      </a:xfrm>
                      <a:prstGeom prst="straightConnector1">
                        <a:avLst/>
                      </a:prstGeom>
                      <a:noFill/>
                      <a:ln cap="flat" cmpd="sng" w="22225">
                        <a:solidFill>
                          <a:srgbClr val="CAAC5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38101</wp:posOffset>
              </wp:positionH>
              <wp:positionV relativeFrom="paragraph">
                <wp:posOffset>-12699</wp:posOffset>
              </wp:positionV>
              <wp:extent cx="6543675" cy="222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367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-876299</wp:posOffset>
          </wp:positionH>
          <wp:positionV relativeFrom="paragraph">
            <wp:posOffset>-447674</wp:posOffset>
          </wp:positionV>
          <wp:extent cx="1304417" cy="945832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417" cy="9458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