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个人</w:t>
      </w:r>
      <w:r>
        <w:t xml:space="preserve"> </w:t>
      </w:r>
      <w:r>
        <w:t xml:space="preserve">A</w:t>
      </w:r>
      <w:r>
        <w:t xml:space="preserve"> </w:t>
      </w:r>
      <w:r>
        <w:t xml:space="preserve">股分析系统：主流程设计与复审记录</w:t>
      </w:r>
    </w:p>
    <w:p>
      <w:pPr>
        <w:pStyle w:val="Subtitle"/>
      </w:pPr>
      <w:r>
        <w:t xml:space="preserve">交易研究流程基线</w:t>
      </w:r>
    </w:p>
    <w:p>
      <w:pPr>
        <w:pStyle w:val="Date"/>
      </w:pPr>
      <w:r>
        <w:t xml:space="preserve">2026-10-20</w:t>
      </w:r>
    </w:p>
    <w:p>
      <w:pPr>
        <w:pStyle w:val="FirstParagraph"/>
      </w:pPr>
      <w:r>
        <w:rPr>
          <w:b/>
          <w:bCs/>
        </w:rPr>
        <w:t xml:space="preserve">版本：</w:t>
      </w:r>
      <w:r>
        <w:t xml:space="preserve"> </w:t>
      </w:r>
      <w:r>
        <w:t xml:space="preserve">v1.0</w:t>
      </w:r>
      <w:r>
        <w:br/>
      </w:r>
      <w:r>
        <w:rPr>
          <w:b/>
          <w:bCs/>
        </w:rPr>
        <w:t xml:space="preserve">状态：</w:t>
      </w:r>
      <w:r>
        <w:t xml:space="preserve"> </w:t>
      </w:r>
      <w:r>
        <w:t xml:space="preserve">复审通过，可作为下一步代码结构设计的业务基线</w:t>
      </w:r>
      <w:r>
        <w:br/>
      </w:r>
      <w:r>
        <w:rPr>
          <w:b/>
          <w:bCs/>
        </w:rPr>
        <w:t xml:space="preserve">范围：</w:t>
      </w:r>
      <w:r>
        <w:t xml:space="preserve"> </w:t>
      </w:r>
      <w:r>
        <w:t xml:space="preserve">个人 A 股研究与决策辅助系统；第一阶段不自动向券商下单，不将大模型作为基础分析的前置依赖。</w:t>
      </w:r>
    </w:p>
    <w:p>
      <w:r>
        <w:pict>
          <v:rect style="width:0;height:1.5pt" o:hralign="center" o:hrstd="t" o:hr="t"/>
        </w:pict>
      </w:r>
    </w:p>
    <w:bookmarkStart w:id="23" w:name="复审结论"/>
    <w:p>
      <w:pPr>
        <w:pStyle w:val="Heading2"/>
      </w:pPr>
      <w:r>
        <w:t xml:space="preserve">1. 复审结论</w:t>
      </w:r>
    </w:p>
    <w:p>
      <w:pPr>
        <w:pStyle w:val="FirstParagraph"/>
      </w:pPr>
      <w:r>
        <w:t xml:space="preserve">上一版主流程的总体方向正确：先做数据质量，再做市场与个股分析；把每日分析与策略验证分开；避免把大模型作为必要依赖。但在作为后续代码设计依据之前，还需补齐若干重要的交易研究要求。</w:t>
      </w:r>
    </w:p>
    <w:bookmarkStart w:id="20" w:name="第一轮-review发现的问题"/>
    <w:p>
      <w:pPr>
        <w:pStyle w:val="Heading3"/>
      </w:pPr>
      <w:r>
        <w:t xml:space="preserve">第一轮 Review：发现的问题</w:t>
      </w:r>
    </w:p>
    <w:p>
      <w:pPr>
        <w:pStyle w:val="FirstParagraph"/>
      </w:pPr>
      <w:r>
        <w:rPr>
          <w:b/>
          <w:bCs/>
        </w:rPr>
        <w:t xml:space="preserve">高优先级问题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信号与交易计划没有完全分开。</w:t>
      </w:r>
      <w:r>
        <w:t xml:space="preserve"> </w:t>
      </w:r>
      <w:r>
        <w:t xml:space="preserve">上一版需要明确入场、退出、失效条件、仓位约束、成交假设和模拟交易。仅做股票排序的策略，不得伪装成可执行交易信号。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历史数据的“当时可知”约束不足。</w:t>
      </w:r>
      <w:r>
        <w:t xml:space="preserve"> </w:t>
      </w:r>
      <w:r>
        <w:t xml:space="preserve">必须考虑历史股票池、后来退市股票、公告实际发布时间、财务披露可用时间及公司行动，降低前视偏差和幸存者偏差。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回测规则需要落到可执行层。</w:t>
      </w:r>
      <w:r>
        <w:t xml:space="preserve"> </w:t>
      </w:r>
      <w:r>
        <w:t xml:space="preserve">必须区分信号时间与最早可成交时间，并模拟适用交易制度、涨跌幅限制、停牌、T+1、费用、滑点、流动性与成交约束；同时披露日线数据无法精确模拟的部分。</w:t>
      </w:r>
    </w:p>
    <w:p>
      <w:pPr>
        <w:pStyle w:val="FirstParagraph"/>
      </w:pPr>
      <w:r>
        <w:rPr>
          <w:b/>
          <w:bCs/>
        </w:rPr>
        <w:t xml:space="preserve">中优先级问题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综合评分存在被过度解读的风险。</w:t>
      </w:r>
      <w:r>
        <w:t xml:space="preserve"> </w:t>
      </w:r>
      <w:r>
        <w:t xml:space="preserve">应分开硬性门禁、因子值、策略信号和横向排名；未经校准的分数不能被称为成功概率或置信度。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数据缺失规则不够细。</w:t>
      </w:r>
      <w:r>
        <w:t xml:space="preserve"> </w:t>
      </w:r>
      <w:r>
        <w:t xml:space="preserve">应按策略必需数据与辅助数据分别判定；允许部分分析，但禁止把缺失字段静默补成 0、正常值或利好。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组合风险处理不足。</w:t>
      </w:r>
      <w:r>
        <w:t xml:space="preserve"> </w:t>
      </w:r>
      <w:r>
        <w:t xml:space="preserve">应纳入个股/行业集中度、相关性、总风险预算、仓位与退出规则；即使暂不连接真实券商，也要定义模拟组合约束。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最权威</w:t>
      </w:r>
      <w:r>
        <w:rPr>
          <w:b/>
          <w:bCs/>
        </w:rPr>
        <w:t xml:space="preserve">”</w:t>
      </w:r>
      <w:r>
        <w:rPr>
          <w:b/>
          <w:bCs/>
        </w:rPr>
        <w:t xml:space="preserve">不等于存在唯一正确策略。</w:t>
      </w:r>
      <w:r>
        <w:t xml:space="preserve"> </w:t>
      </w:r>
      <w:r>
        <w:t xml:space="preserve">流程是研究与风控框架，不保证盈利；具体参数与交易假设必须用历史和样本外验证，而不是依赖权威背书。</w:t>
      </w:r>
    </w:p>
    <w:bookmarkEnd w:id="20"/>
    <w:bookmarkStart w:id="21" w:name="第二轮-review完成的修订"/>
    <w:p>
      <w:pPr>
        <w:pStyle w:val="Heading3"/>
      </w:pPr>
      <w:r>
        <w:t xml:space="preserve">第二轮 Review：完成的修订</w:t>
      </w:r>
    </w:p>
    <w:p>
      <w:pPr>
        <w:pStyle w:val="Compact"/>
        <w:numPr>
          <w:ilvl w:val="0"/>
          <w:numId w:val="1003"/>
        </w:numPr>
      </w:pPr>
      <w:r>
        <w:t xml:space="preserve">将系统拆为每日分析线与策略研发验证线，避免把“能生成信号”与“策略已验证”混为一谈。</w:t>
      </w:r>
    </w:p>
    <w:p>
      <w:pPr>
        <w:pStyle w:val="Compact"/>
        <w:numPr>
          <w:ilvl w:val="0"/>
          <w:numId w:val="1003"/>
        </w:numPr>
      </w:pPr>
      <w:r>
        <w:t xml:space="preserve">在行情进入因子计算前增加标准化、公司行动处理、时间戳管理和分策略数据门禁。</w:t>
      </w:r>
    </w:p>
    <w:p>
      <w:pPr>
        <w:pStyle w:val="Compact"/>
        <w:numPr>
          <w:ilvl w:val="0"/>
          <w:numId w:val="1003"/>
        </w:numPr>
      </w:pPr>
      <w:r>
        <w:t xml:space="preserve">在候选信号之后增加可交易性检查、入场/退出定义、仓位与组合约束、执行假设及模拟成交。</w:t>
      </w:r>
    </w:p>
    <w:p>
      <w:pPr>
        <w:pStyle w:val="Compact"/>
        <w:numPr>
          <w:ilvl w:val="0"/>
          <w:numId w:val="1003"/>
        </w:numPr>
      </w:pPr>
      <w:r>
        <w:t xml:space="preserve">将历史验证改为点时数据、滚动/样本外检验、费用和成交约束建模，并记录回测分辨率的局限。</w:t>
      </w:r>
    </w:p>
    <w:p>
      <w:pPr>
        <w:pStyle w:val="Compact"/>
        <w:numPr>
          <w:ilvl w:val="0"/>
          <w:numId w:val="1003"/>
        </w:numPr>
      </w:pPr>
      <w:r>
        <w:t xml:space="preserve">将评分输出改为可解释、可追溯的指标和规则结果；大模型保持可选。</w:t>
      </w:r>
    </w:p>
    <w:bookmarkEnd w:id="21"/>
    <w:bookmarkStart w:id="22" w:name="第三轮-review最终验收"/>
    <w:p>
      <w:pPr>
        <w:pStyle w:val="Heading3"/>
      </w:pPr>
      <w:r>
        <w:t xml:space="preserve">第三轮 Review：最终验收</w:t>
      </w:r>
    </w:p>
    <w:p>
      <w:pPr>
        <w:pStyle w:val="Compact"/>
        <w:numPr>
          <w:ilvl w:val="0"/>
          <w:numId w:val="1004"/>
        </w:numPr>
      </w:pPr>
      <w:r>
        <w:t xml:space="preserve">☒ 不把单个技术指标或自然语言判断等同于有效交易策略。</w:t>
      </w:r>
    </w:p>
    <w:p>
      <w:pPr>
        <w:pStyle w:val="Compact"/>
        <w:numPr>
          <w:ilvl w:val="0"/>
          <w:numId w:val="1004"/>
        </w:numPr>
      </w:pPr>
      <w:r>
        <w:t xml:space="preserve">☒ 明确原始事实、分析因子、策略信号、风险决定和组合构建的职责边界。</w:t>
      </w:r>
    </w:p>
    <w:p>
      <w:pPr>
        <w:pStyle w:val="Compact"/>
        <w:numPr>
          <w:ilvl w:val="0"/>
          <w:numId w:val="1004"/>
        </w:numPr>
      </w:pPr>
      <w:r>
        <w:t xml:space="preserve">☒ 覆盖前视偏差、幸存者偏差、复权口径、财务公告可用时间和数据源质量。</w:t>
      </w:r>
    </w:p>
    <w:p>
      <w:pPr>
        <w:pStyle w:val="Compact"/>
        <w:numPr>
          <w:ilvl w:val="0"/>
          <w:numId w:val="1004"/>
        </w:numPr>
      </w:pPr>
      <w:r>
        <w:t xml:space="preserve">☒ 覆盖 A 股交易规则的版本化、成交约束、费用与滑点。</w:t>
      </w:r>
    </w:p>
    <w:p>
      <w:pPr>
        <w:pStyle w:val="Compact"/>
        <w:numPr>
          <w:ilvl w:val="0"/>
          <w:numId w:val="1004"/>
        </w:numPr>
      </w:pPr>
      <w:r>
        <w:t xml:space="preserve">☒ 明确风险否决不能被综合分数覆盖。</w:t>
      </w:r>
    </w:p>
    <w:p>
      <w:pPr>
        <w:pStyle w:val="Compact"/>
        <w:numPr>
          <w:ilvl w:val="0"/>
          <w:numId w:val="1004"/>
        </w:numPr>
      </w:pPr>
      <w:r>
        <w:t xml:space="preserve">☒ 明确回测与模拟运行是策略验收的一部分，而非可选的装饰功能。</w:t>
      </w:r>
    </w:p>
    <w:p>
      <w:pPr>
        <w:pStyle w:val="Compact"/>
        <w:numPr>
          <w:ilvl w:val="0"/>
          <w:numId w:val="1004"/>
        </w:numPr>
      </w:pPr>
      <w:r>
        <w:t xml:space="preserve">☒ 第一阶段范围可控，能够先基于日线跑通闭环。</w:t>
      </w:r>
    </w:p>
    <w:p>
      <w:pPr>
        <w:pStyle w:val="FirstParagraph"/>
      </w:pPr>
      <w:r>
        <w:rPr>
          <w:b/>
          <w:bCs/>
        </w:rPr>
        <w:t xml:space="preserve">最终结论：</w:t>
      </w:r>
      <w:r>
        <w:t xml:space="preserve"> </w:t>
      </w:r>
      <w:r>
        <w:t xml:space="preserve">当前主流程不存在阻止进入代码结构设计的重大缺口。它是可供实现的研究系统流程基线，而不是收益保证，也不是唯一适用于所有交易风格的策略模板。后续代码设计仍需把具体策略参数、交易周期、风险预算和验收阈值作为显式配置与版本管理对象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设计目标与边界"/>
    <w:p>
      <w:pPr>
        <w:pStyle w:val="Heading2"/>
      </w:pPr>
      <w:r>
        <w:t xml:space="preserve">2. 设计目标与边界</w:t>
      </w:r>
    </w:p>
    <w:bookmarkStart w:id="24" w:name="目标"/>
    <w:p>
      <w:pPr>
        <w:pStyle w:val="Heading3"/>
      </w:pPr>
      <w:r>
        <w:t xml:space="preserve">2.1 目标</w:t>
      </w:r>
    </w:p>
    <w:p>
      <w:pPr>
        <w:pStyle w:val="FirstParagraph"/>
      </w:pPr>
      <w:r>
        <w:t xml:space="preserve">系统的目标不是预测每一只股票明天的涨跌，而是建立可重复、可审计的分析过程，回答：</w:t>
      </w:r>
    </w:p>
    <w:p>
      <w:pPr>
        <w:pStyle w:val="Compact"/>
        <w:numPr>
          <w:ilvl w:val="0"/>
          <w:numId w:val="1005"/>
        </w:numPr>
      </w:pPr>
      <w:r>
        <w:t xml:space="preserve">在指定分析时点，哪些股票满足某个策略的前置条件？</w:t>
      </w:r>
    </w:p>
    <w:p>
      <w:pPr>
        <w:pStyle w:val="Compact"/>
        <w:numPr>
          <w:ilvl w:val="0"/>
          <w:numId w:val="1005"/>
        </w:numPr>
      </w:pPr>
      <w:r>
        <w:t xml:space="preserve">信号由哪些可验证的数据和规则得出？</w:t>
      </w:r>
    </w:p>
    <w:p>
      <w:pPr>
        <w:pStyle w:val="Compact"/>
        <w:numPr>
          <w:ilvl w:val="0"/>
          <w:numId w:val="1005"/>
        </w:numPr>
      </w:pPr>
      <w:r>
        <w:t xml:space="preserve">如果考虑真实交易约束，信号是否可以执行，风险是否可接受？</w:t>
      </w:r>
    </w:p>
    <w:p>
      <w:pPr>
        <w:pStyle w:val="Compact"/>
        <w:numPr>
          <w:ilvl w:val="0"/>
          <w:numId w:val="1005"/>
        </w:numPr>
      </w:pPr>
      <w:r>
        <w:t xml:space="preserve">在历史和样本外数据中，该策略是否显示出扣除成本后的合理风险收益特征？</w:t>
      </w:r>
    </w:p>
    <w:p>
      <w:pPr>
        <w:pStyle w:val="Compact"/>
        <w:numPr>
          <w:ilvl w:val="0"/>
          <w:numId w:val="1005"/>
        </w:numPr>
      </w:pPr>
      <w:r>
        <w:t xml:space="preserve">后续表现是否仍符合原有假设？</w:t>
      </w:r>
    </w:p>
    <w:bookmarkEnd w:id="24"/>
    <w:bookmarkStart w:id="25" w:name="第一阶段边界"/>
    <w:p>
      <w:pPr>
        <w:pStyle w:val="Heading3"/>
      </w:pPr>
      <w:r>
        <w:t xml:space="preserve">2.2 第一阶段边界</w:t>
      </w:r>
    </w:p>
    <w:p>
      <w:pPr>
        <w:pStyle w:val="Compact"/>
        <w:numPr>
          <w:ilvl w:val="0"/>
          <w:numId w:val="1006"/>
        </w:numPr>
      </w:pPr>
      <w:r>
        <w:t xml:space="preserve">市场范围：A 股；交易所、板块、证券类型和交易制度需要有明确映射。</w:t>
      </w:r>
    </w:p>
    <w:p>
      <w:pPr>
        <w:pStyle w:val="Compact"/>
        <w:numPr>
          <w:ilvl w:val="0"/>
          <w:numId w:val="1006"/>
        </w:numPr>
      </w:pPr>
      <w:r>
        <w:t xml:space="preserve">优先周期：日线；盘中数据作为后续扩展，不与完整日线混用。</w:t>
      </w:r>
    </w:p>
    <w:p>
      <w:pPr>
        <w:pStyle w:val="Compact"/>
        <w:numPr>
          <w:ilvl w:val="0"/>
          <w:numId w:val="1006"/>
        </w:numPr>
      </w:pPr>
      <w:r>
        <w:t xml:space="preserve">输出：研究结论、候选信号、风险理由、模拟交易结果和历史表现。</w:t>
      </w:r>
    </w:p>
    <w:p>
      <w:pPr>
        <w:pStyle w:val="Compact"/>
        <w:numPr>
          <w:ilvl w:val="0"/>
          <w:numId w:val="1006"/>
        </w:numPr>
      </w:pPr>
      <w:r>
        <w:t xml:space="preserve">暂不实施：真实自动下单、自动加仓/减仓、大模型主导交易决策、复杂 Agent 工作流。</w:t>
      </w:r>
    </w:p>
    <w:p>
      <w:pPr>
        <w:pStyle w:val="Compact"/>
        <w:numPr>
          <w:ilvl w:val="0"/>
          <w:numId w:val="1006"/>
        </w:numPr>
      </w:pPr>
      <w:r>
        <w:t xml:space="preserve">数据源：可以暂时复用现成数据服务，但必须将来源、更新时间、缺失状态和接口限制视为系统输入的一部分。</w:t>
      </w:r>
    </w:p>
    <w:bookmarkEnd w:id="25"/>
    <w:bookmarkStart w:id="26" w:name="重要原则"/>
    <w:p>
      <w:pPr>
        <w:pStyle w:val="Heading3"/>
      </w:pPr>
      <w:r>
        <w:t xml:space="preserve">2.3 重要原则</w:t>
      </w:r>
    </w:p>
    <w:p>
      <w:pPr>
        <w:pStyle w:val="Compact"/>
        <w:numPr>
          <w:ilvl w:val="0"/>
          <w:numId w:val="1007"/>
        </w:numPr>
      </w:pPr>
      <w:r>
        <w:t xml:space="preserve">数据可靠性优先于分析覆盖面。</w:t>
      </w:r>
    </w:p>
    <w:p>
      <w:pPr>
        <w:pStyle w:val="Compact"/>
        <w:numPr>
          <w:ilvl w:val="0"/>
          <w:numId w:val="1007"/>
        </w:numPr>
      </w:pPr>
      <w:r>
        <w:t xml:space="preserve">可解释性优先于不可追溯的总分。</w:t>
      </w:r>
    </w:p>
    <w:p>
      <w:pPr>
        <w:pStyle w:val="Compact"/>
        <w:numPr>
          <w:ilvl w:val="0"/>
          <w:numId w:val="1007"/>
        </w:numPr>
      </w:pPr>
      <w:r>
        <w:t xml:space="preserve">风险门禁独立于收益评分，且具有否决权。</w:t>
      </w:r>
    </w:p>
    <w:p>
      <w:pPr>
        <w:pStyle w:val="Compact"/>
        <w:numPr>
          <w:ilvl w:val="0"/>
          <w:numId w:val="1007"/>
        </w:numPr>
      </w:pPr>
      <w:r>
        <w:t xml:space="preserve">策略、参数、交易规则和回测假设均需版本化。</w:t>
      </w:r>
    </w:p>
    <w:p>
      <w:pPr>
        <w:pStyle w:val="Compact"/>
        <w:numPr>
          <w:ilvl w:val="0"/>
          <w:numId w:val="1007"/>
        </w:numPr>
      </w:pPr>
      <w:r>
        <w:t xml:space="preserve">分析可以部分完成；但必需数据不足时，不能生成“有效”策略信号。</w:t>
      </w:r>
    </w:p>
    <w:p>
      <w:pPr>
        <w:pStyle w:val="Compact"/>
        <w:numPr>
          <w:ilvl w:val="0"/>
          <w:numId w:val="1007"/>
        </w:numPr>
      </w:pPr>
      <w:r>
        <w:t xml:space="preserve">所有历史判断只能使用当时已经可获得的信息。</w:t>
      </w:r>
    </w:p>
    <w:p>
      <w:pPr>
        <w:pStyle w:val="Compact"/>
        <w:numPr>
          <w:ilvl w:val="0"/>
          <w:numId w:val="1007"/>
        </w:numPr>
      </w:pPr>
      <w:r>
        <w:t xml:space="preserve">不以历史最优参数直接作为实盘参数；必须进行样本外和模拟运行。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总体设计两条独立但闭环的流程"/>
    <w:p>
      <w:pPr>
        <w:pStyle w:val="Heading2"/>
      </w:pPr>
      <w:r>
        <w:t xml:space="preserve">3. 总体设计：两条独立但闭环的流程</w:t>
      </w:r>
    </w:p>
    <w:bookmarkStart w:id="28" w:name="每日分析主流程"/>
    <w:p>
      <w:pPr>
        <w:pStyle w:val="Heading3"/>
      </w:pPr>
      <w:r>
        <w:t xml:space="preserve">3.1 每日分析主流程</w:t>
      </w:r>
    </w:p>
    <w:p>
      <w:pPr>
        <w:pStyle w:val="SourceCode"/>
      </w:pPr>
      <w:r>
        <w:rPr>
          <w:rStyle w:val="VerbatimChar"/>
        </w:rPr>
        <w:t xml:space="preserve">任务触发与参数冻结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确定分析时点、股票池和策略版本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按历史时点确定股票范围及可交易状态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采集行情、财务、板块、资金、公告等原始数据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数据标准化、复权/公司行动处理、时间与来源标记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按数据集和策略做质量门禁</w:t>
      </w:r>
      <w:r>
        <w:br/>
      </w:r>
      <w:r>
        <w:rPr>
          <w:rStyle w:val="VerbatimChar"/>
        </w:rPr>
        <w:t xml:space="preserve">  ├─ 核心数据不合格 → 保存异常/部分分析结果，不生成有效信号</w:t>
      </w:r>
      <w:r>
        <w:br/>
      </w:r>
      <w:r>
        <w:rPr>
          <w:rStyle w:val="VerbatimChar"/>
        </w:rPr>
        <w:t xml:space="preserve">  └─ 满足策略的数据要求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市场环境、市场广度和行业相对强度分析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个股因子计算：趋势 / 量价 / 基本面 / 事件 / 流动性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股票池筛选与策略适配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依据明确规则生成候选信号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可交易性与风险否决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入场、退出、失效条件、仓位和组合约束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模拟执行 / 交易计划评估（第一阶段不连接真实券商）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生成结构化结论与解释证据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保存分析快照、策略版本与运行记录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跟踪后续表现、策略漂移和数据源健康</w:t>
      </w:r>
    </w:p>
    <w:bookmarkEnd w:id="28"/>
    <w:bookmarkStart w:id="29" w:name="策略研发与验收闭环"/>
    <w:p>
      <w:pPr>
        <w:pStyle w:val="Heading3"/>
      </w:pPr>
      <w:r>
        <w:t xml:space="preserve">3.2 策略研发与验收闭环</w:t>
      </w:r>
    </w:p>
    <w:p>
      <w:pPr>
        <w:pStyle w:val="SourceCode"/>
      </w:pPr>
      <w:r>
        <w:rPr>
          <w:rStyle w:val="VerbatimChar"/>
        </w:rPr>
        <w:t xml:space="preserve">提出可证伪的交易假设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定义股票范围、因子、信号、退出和风险规则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准备无前视偏差的点时历史数据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事件驱动回测与组合模拟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加入费用、滑点、成交约束和交易制度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与基准比较，评估收益、风险、换手和容量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滚动验证、样本外测试、参数敏感性和压力情景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结果不合格 → 记录失败原因并修改假设或淘汰策略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结果可接受 → 实时模拟运行，不实际下单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持续与预期、回测和风险阈值比较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批准版本 / 暂停 / 降级 / 退役</w:t>
      </w:r>
    </w:p>
    <w:p>
      <w:pPr>
        <w:pStyle w:val="FirstParagraph"/>
      </w:pPr>
      <w:r>
        <w:t xml:space="preserve">这两条流程必须分离：每日分析负责按当前数据执行已定义规则；研发验证负责评估规则是否值得继续使用。历史收益好看不能代替数据质量和样本外验证。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4" w:name="每日分析主流程逐阶段要求"/>
    <w:p>
      <w:pPr>
        <w:pStyle w:val="Heading2"/>
      </w:pPr>
      <w:r>
        <w:t xml:space="preserve">4. 每日分析主流程：逐阶段要求</w:t>
      </w:r>
    </w:p>
    <w:bookmarkStart w:id="31" w:name="阶段-0任务定义与参数冻结"/>
    <w:p>
      <w:pPr>
        <w:pStyle w:val="Heading3"/>
      </w:pPr>
      <w:r>
        <w:t xml:space="preserve">阶段 0：任务定义与参数冻结</w:t>
      </w:r>
    </w:p>
    <w:p>
      <w:pPr>
        <w:pStyle w:val="FirstParagraph"/>
      </w:pPr>
      <w:r>
        <w:t xml:space="preserve">每次任务开始时确定并记录：</w:t>
      </w:r>
    </w:p>
    <w:p>
      <w:pPr>
        <w:pStyle w:val="Compact"/>
        <w:numPr>
          <w:ilvl w:val="0"/>
          <w:numId w:val="1008"/>
        </w:numPr>
      </w:pPr>
      <w:r>
        <w:t xml:space="preserve">分析任务类型：盘后研究、盘中刷新、自选股扫描、历史复现或持仓跟踪。</w:t>
      </w:r>
    </w:p>
    <w:p>
      <w:pPr>
        <w:pStyle w:val="Compact"/>
        <w:numPr>
          <w:ilvl w:val="0"/>
          <w:numId w:val="1008"/>
        </w:numPr>
      </w:pPr>
      <w:r>
        <w:t xml:space="preserve">分析时点、市场和股票池版本。</w:t>
      </w:r>
    </w:p>
    <w:p>
      <w:pPr>
        <w:pStyle w:val="Compact"/>
        <w:numPr>
          <w:ilvl w:val="0"/>
          <w:numId w:val="1008"/>
        </w:numPr>
      </w:pPr>
      <w:r>
        <w:t xml:space="preserve">策略 ID、策略版本、因子版本和风险配置版本。</w:t>
      </w:r>
    </w:p>
    <w:p>
      <w:pPr>
        <w:pStyle w:val="Compact"/>
        <w:numPr>
          <w:ilvl w:val="0"/>
          <w:numId w:val="1008"/>
        </w:numPr>
      </w:pPr>
      <w:r>
        <w:t xml:space="preserve">输入数据要求、允许的数据降级规则和任务截止时间。</w:t>
      </w:r>
    </w:p>
    <w:p>
      <w:pPr>
        <w:pStyle w:val="FirstParagraph"/>
      </w:pPr>
      <w:r>
        <w:t xml:space="preserve">历史复现必须锁定历史时点，不能用今天的股票池、公司资料或财务数据替换过去的状态。</w:t>
      </w:r>
    </w:p>
    <w:bookmarkEnd w:id="31"/>
    <w:bookmarkStart w:id="32" w:name="阶段-1证券主数据与可交易范围"/>
    <w:p>
      <w:pPr>
        <w:pStyle w:val="Heading3"/>
      </w:pPr>
      <w:r>
        <w:t xml:space="preserve">阶段 1：证券主数据与可交易范围</w:t>
      </w:r>
    </w:p>
    <w:p>
      <w:pPr>
        <w:pStyle w:val="Compact"/>
        <w:numPr>
          <w:ilvl w:val="0"/>
          <w:numId w:val="1009"/>
        </w:numPr>
      </w:pPr>
      <w:r>
        <w:t xml:space="preserve">统一证券代码、交易所、板块、证券类别、上市/退市状态。</w:t>
      </w:r>
    </w:p>
    <w:p>
      <w:pPr>
        <w:pStyle w:val="Compact"/>
        <w:numPr>
          <w:ilvl w:val="0"/>
          <w:numId w:val="1009"/>
        </w:numPr>
      </w:pPr>
      <w:r>
        <w:t xml:space="preserve">对历史回测维护历史股票池，保留后来退市或被剔除的证券记录，避免只回测今天仍然存在的股票。</w:t>
      </w:r>
    </w:p>
    <w:p>
      <w:pPr>
        <w:pStyle w:val="Compact"/>
        <w:numPr>
          <w:ilvl w:val="0"/>
          <w:numId w:val="1009"/>
        </w:numPr>
      </w:pPr>
      <w:r>
        <w:t xml:space="preserve">管理交易日历、停牌、风险警示和其他证券状态。</w:t>
      </w:r>
    </w:p>
    <w:p>
      <w:pPr>
        <w:pStyle w:val="Compact"/>
        <w:numPr>
          <w:ilvl w:val="0"/>
          <w:numId w:val="1009"/>
        </w:numPr>
      </w:pPr>
      <w:r>
        <w:t xml:space="preserve">交易制度应按交易所、证券类别和生效日期版本化维护，不把涨跌幅限制、交易时段、最小交易单位等写成永久常量。</w:t>
      </w:r>
    </w:p>
    <w:bookmarkEnd w:id="32"/>
    <w:bookmarkStart w:id="33" w:name="阶段-2数据采集与原始留痕"/>
    <w:p>
      <w:pPr>
        <w:pStyle w:val="Heading3"/>
      </w:pPr>
      <w:r>
        <w:t xml:space="preserve">阶段 2：数据采集与原始留痕</w:t>
      </w:r>
    </w:p>
    <w:p>
      <w:pPr>
        <w:pStyle w:val="FirstParagraph"/>
      </w:pPr>
      <w:r>
        <w:t xml:space="preserve">第一阶段优先打通：</w:t>
      </w:r>
    </w:p>
    <w:p>
      <w:pPr>
        <w:pStyle w:val="Compact"/>
        <w:numPr>
          <w:ilvl w:val="0"/>
          <w:numId w:val="1010"/>
        </w:numPr>
      </w:pPr>
      <w:r>
        <w:t xml:space="preserve">股票基础信息与交易日历。</w:t>
      </w:r>
    </w:p>
    <w:p>
      <w:pPr>
        <w:pStyle w:val="Compact"/>
        <w:numPr>
          <w:ilvl w:val="0"/>
          <w:numId w:val="1010"/>
        </w:numPr>
      </w:pPr>
      <w:r>
        <w:t xml:space="preserve">日 K 线：开、高、低、收、成交量、成交额、涨跌幅及相关状态。</w:t>
      </w:r>
    </w:p>
    <w:p>
      <w:pPr>
        <w:pStyle w:val="Compact"/>
        <w:numPr>
          <w:ilvl w:val="0"/>
          <w:numId w:val="1010"/>
        </w:numPr>
      </w:pPr>
      <w:r>
        <w:t xml:space="preserve">指数日线：用于判断市场状态和计算相对表现。</w:t>
      </w:r>
    </w:p>
    <w:p>
      <w:pPr>
        <w:pStyle w:val="Compact"/>
        <w:numPr>
          <w:ilvl w:val="0"/>
          <w:numId w:val="1010"/>
        </w:numPr>
      </w:pPr>
      <w:r>
        <w:t xml:space="preserve">公司行动/复权因子：用于区分信号价格、收益计算价格与实际交易价格。</w:t>
      </w:r>
    </w:p>
    <w:p>
      <w:pPr>
        <w:pStyle w:val="FirstParagraph"/>
      </w:pPr>
      <w:r>
        <w:t xml:space="preserve">后续再扩展财务报表、估值、行业板块、资金流、龙虎榜、新闻和公告。每个数据源必须有明确的能力范围，不能因为接口返回成功，就假定所有字段真实、完整且新鲜。</w:t>
      </w:r>
    </w:p>
    <w:p>
      <w:pPr>
        <w:pStyle w:val="BodyText"/>
      </w:pPr>
      <w:r>
        <w:t xml:space="preserve">建议在数据记录中区分：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event_time</w:t>
      </w:r>
      <w:r>
        <w:t xml:space="preserve">：事件或行情实际对应的业务时间。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published_at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available_at</w:t>
      </w:r>
      <w:r>
        <w:t xml:space="preserve">：该信息对市场参与者可获得的时间。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fetched_at</w:t>
      </w:r>
      <w:r>
        <w:t xml:space="preserve">：系统采集时间。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source</w:t>
      </w:r>
      <w:r>
        <w:t xml:space="preserve">：提供数据的来源。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adjustment_basis</w:t>
      </w:r>
      <w:r>
        <w:t xml:space="preserve">：原始、前复权、后复权或其他口径。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quality_status</w:t>
      </w:r>
      <w:r>
        <w:t xml:space="preserve">、</w:t>
      </w:r>
      <w:r>
        <w:rPr>
          <w:rStyle w:val="VerbatimChar"/>
        </w:rPr>
        <w:t xml:space="preserve">missing_fields</w:t>
      </w:r>
      <w:r>
        <w:t xml:space="preserve">、</w:t>
      </w:r>
      <w:r>
        <w:rPr>
          <w:rStyle w:val="VerbatimChar"/>
        </w:rPr>
        <w:t xml:space="preserve">fallback_from</w:t>
      </w:r>
      <w:r>
        <w:t xml:space="preserve">：数据质量和备用链路信息。</w:t>
      </w:r>
    </w:p>
    <w:p>
      <w:pPr>
        <w:pStyle w:val="FirstParagraph"/>
      </w:pPr>
      <w:r>
        <w:t xml:space="preserve">字段名称是建议的逻辑契约，不要求一开始就原样命名。</w:t>
      </w:r>
    </w:p>
    <w:bookmarkEnd w:id="33"/>
    <w:bookmarkStart w:id="34" w:name="阶段-3标准化与时间一致性"/>
    <w:p>
      <w:pPr>
        <w:pStyle w:val="Heading3"/>
      </w:pPr>
      <w:r>
        <w:t xml:space="preserve">阶段 3：标准化与时间一致性</w:t>
      </w:r>
    </w:p>
    <w:p>
      <w:pPr>
        <w:pStyle w:val="Compact"/>
        <w:numPr>
          <w:ilvl w:val="0"/>
          <w:numId w:val="1012"/>
        </w:numPr>
      </w:pPr>
      <w:r>
        <w:t xml:space="preserve">统一代码、单位、时区、交易日与数据类型。</w:t>
      </w:r>
    </w:p>
    <w:p>
      <w:pPr>
        <w:pStyle w:val="Compact"/>
        <w:numPr>
          <w:ilvl w:val="0"/>
          <w:numId w:val="1012"/>
        </w:numPr>
      </w:pPr>
      <w:r>
        <w:t xml:space="preserve">保留必要的原始响应或可复现引用；标准化不得抹掉源信息。</w:t>
      </w:r>
    </w:p>
    <w:p>
      <w:pPr>
        <w:pStyle w:val="Compact"/>
        <w:numPr>
          <w:ilvl w:val="0"/>
          <w:numId w:val="1012"/>
        </w:numPr>
      </w:pPr>
      <w:r>
        <w:t xml:space="preserve">处理除权除息、送转、拆并股等公司行动。原始价格与调整后价格分开存储/识别，不能把复权价格直接当作历史实际成交价。</w:t>
      </w:r>
    </w:p>
    <w:p>
      <w:pPr>
        <w:pStyle w:val="Compact"/>
        <w:numPr>
          <w:ilvl w:val="0"/>
          <w:numId w:val="1012"/>
        </w:numPr>
      </w:pPr>
      <w:r>
        <w:t xml:space="preserve">财务和公告信息使用实际公开/可获得时间，不得仅按报告期结束时间判断其已知。</w:t>
      </w:r>
    </w:p>
    <w:p>
      <w:pPr>
        <w:pStyle w:val="Compact"/>
        <w:numPr>
          <w:ilvl w:val="0"/>
          <w:numId w:val="1012"/>
        </w:numPr>
      </w:pPr>
      <w:r>
        <w:t xml:space="preserve">多源数据冲突时执行明确的来源优先级、容差、复核或降级规则；禁止无记录地取均值或任选其中一个。</w:t>
      </w:r>
    </w:p>
    <w:bookmarkEnd w:id="34"/>
    <w:bookmarkStart w:id="35" w:name="阶段-4数据质量门禁"/>
    <w:p>
      <w:pPr>
        <w:pStyle w:val="Heading3"/>
      </w:pPr>
      <w:r>
        <w:t xml:space="preserve">阶段 4：数据质量门禁</w:t>
      </w:r>
    </w:p>
    <w:p>
      <w:pPr>
        <w:pStyle w:val="FirstParagraph"/>
      </w:pPr>
      <w:r>
        <w:t xml:space="preserve">采用“核心字段 + 策略必需数据 + 辅助数据”三级规则。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核心数据不合格：</w:t>
      </w:r>
      <w:r>
        <w:t xml:space="preserve"> </w:t>
      </w:r>
      <w:r>
        <w:t xml:space="preserve">不输出有效信号；保留失败状态和异常原因。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策略必需数据缺失：</w:t>
      </w:r>
      <w:r>
        <w:t xml:space="preserve"> </w:t>
      </w:r>
      <w:r>
        <w:t xml:space="preserve">该策略不执行，其他数据充分的策略仍可继续。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辅助数据缺失：</w:t>
      </w:r>
      <w:r>
        <w:t xml:space="preserve"> </w:t>
      </w:r>
      <w:r>
        <w:t xml:space="preserve">可输出部分分析，但必须注明限制，不可将缺失值改写为零、正常或利好。</w:t>
      </w:r>
    </w:p>
    <w:p>
      <w:pPr>
        <w:pStyle w:val="FirstParagraph"/>
      </w:pPr>
      <w:r>
        <w:t xml:space="preserve">基础校验包括：数据时间是否有效、K 线日期重复/缺失、OHLC 逻辑、成交量和成交额异常、复权连续性、行情来源冲突、关键字段缺失、财务报告是否已公开，以及股票是否停牌。</w:t>
      </w:r>
    </w:p>
    <w:p>
      <w:pPr>
        <w:pStyle w:val="BodyText"/>
      </w:pPr>
      <w:r>
        <w:t xml:space="preserve">质量分数只能帮助描述质量，不能替代硬门禁。例如，核心收盘价过期时，不能因为其他字段完整而由平均质量分数放行。</w:t>
      </w:r>
    </w:p>
    <w:bookmarkEnd w:id="35"/>
    <w:bookmarkStart w:id="36" w:name="阶段-5市场环境和行业状态"/>
    <w:p>
      <w:pPr>
        <w:pStyle w:val="Heading3"/>
      </w:pPr>
      <w:r>
        <w:t xml:space="preserve">阶段 5：市场环境和行业状态</w:t>
      </w:r>
    </w:p>
    <w:p>
      <w:pPr>
        <w:pStyle w:val="FirstParagraph"/>
      </w:pPr>
      <w:r>
        <w:t xml:space="preserve">至少形成几个独立可检查的维度：</w:t>
      </w:r>
    </w:p>
    <w:p>
      <w:pPr>
        <w:pStyle w:val="Compact"/>
        <w:numPr>
          <w:ilvl w:val="0"/>
          <w:numId w:val="1014"/>
        </w:numPr>
      </w:pPr>
      <w:r>
        <w:t xml:space="preserve">大盘趋势、动量和波动状态。</w:t>
      </w:r>
    </w:p>
    <w:p>
      <w:pPr>
        <w:pStyle w:val="Compact"/>
        <w:numPr>
          <w:ilvl w:val="0"/>
          <w:numId w:val="1014"/>
        </w:numPr>
      </w:pPr>
      <w:r>
        <w:t xml:space="preserve">市场广度与涨跌分布。</w:t>
      </w:r>
    </w:p>
    <w:p>
      <w:pPr>
        <w:pStyle w:val="Compact"/>
        <w:numPr>
          <w:ilvl w:val="0"/>
          <w:numId w:val="1014"/>
        </w:numPr>
      </w:pPr>
      <w:r>
        <w:t xml:space="preserve">行业/主题的相对强弱和持续性。</w:t>
      </w:r>
    </w:p>
    <w:p>
      <w:pPr>
        <w:pStyle w:val="Compact"/>
        <w:numPr>
          <w:ilvl w:val="0"/>
          <w:numId w:val="1014"/>
        </w:numPr>
      </w:pPr>
      <w:r>
        <w:t xml:space="preserve">流动性与极端风险状态。</w:t>
      </w:r>
    </w:p>
    <w:p>
      <w:pPr>
        <w:pStyle w:val="FirstParagraph"/>
      </w:pPr>
      <w:r>
        <w:t xml:space="preserve">市场环境分类是因子，不是事实真理。环境标签应记录输入指标和触发规则，策略是否使用该标签由策略规则决定；不能由主观的“牛市/熊市”标签直接替代回测。</w:t>
      </w:r>
    </w:p>
    <w:bookmarkEnd w:id="36"/>
    <w:bookmarkStart w:id="37" w:name="阶段-6个股因子计算"/>
    <w:p>
      <w:pPr>
        <w:pStyle w:val="Heading3"/>
      </w:pPr>
      <w:r>
        <w:t xml:space="preserve">阶段 6：个股因子计算</w:t>
      </w:r>
    </w:p>
    <w:p>
      <w:pPr>
        <w:pStyle w:val="FirstParagraph"/>
      </w:pPr>
      <w:r>
        <w:t xml:space="preserve">按因子族独立计算和存储，不急于合成一个总分：</w:t>
      </w:r>
    </w:p>
    <w:p>
      <w:pPr>
        <w:pStyle w:val="Compact"/>
        <w:numPr>
          <w:ilvl w:val="0"/>
          <w:numId w:val="1015"/>
        </w:numPr>
      </w:pPr>
      <w:r>
        <w:t xml:space="preserve">趋势/动量：均线结构、价格动量、相对强弱、趋势斜率等。</w:t>
      </w:r>
    </w:p>
    <w:p>
      <w:pPr>
        <w:pStyle w:val="Compact"/>
        <w:numPr>
          <w:ilvl w:val="0"/>
          <w:numId w:val="1015"/>
        </w:numPr>
      </w:pPr>
      <w:r>
        <w:t xml:space="preserve">量价/波动：成交额、量比、波动率、突破/回撤特征等。</w:t>
      </w:r>
    </w:p>
    <w:p>
      <w:pPr>
        <w:pStyle w:val="Compact"/>
        <w:numPr>
          <w:ilvl w:val="0"/>
          <w:numId w:val="1015"/>
        </w:numPr>
      </w:pPr>
      <w:r>
        <w:t xml:space="preserve">基本面/估值：增长、盈利质量、现金流、负债、估值与行业比较。</w:t>
      </w:r>
    </w:p>
    <w:p>
      <w:pPr>
        <w:pStyle w:val="Compact"/>
        <w:numPr>
          <w:ilvl w:val="0"/>
          <w:numId w:val="1015"/>
        </w:numPr>
      </w:pPr>
      <w:r>
        <w:t xml:space="preserve">行业/资金：行业相对强弱、资金流和龙虎榜等可得证据。</w:t>
      </w:r>
    </w:p>
    <w:p>
      <w:pPr>
        <w:pStyle w:val="Compact"/>
        <w:numPr>
          <w:ilvl w:val="0"/>
          <w:numId w:val="1015"/>
        </w:numPr>
      </w:pPr>
      <w:r>
        <w:t xml:space="preserve">事件：公告、财报预告、重大事项等，以及事件发布时间和可靠性。</w:t>
      </w:r>
    </w:p>
    <w:p>
      <w:pPr>
        <w:pStyle w:val="Compact"/>
        <w:numPr>
          <w:ilvl w:val="0"/>
          <w:numId w:val="1015"/>
        </w:numPr>
      </w:pPr>
      <w:r>
        <w:t xml:space="preserve">交易可行性：流动性、停牌状态、限制价状态和预期交易成本。</w:t>
      </w:r>
    </w:p>
    <w:p>
      <w:pPr>
        <w:pStyle w:val="FirstParagraph"/>
      </w:pPr>
      <w:r>
        <w:t xml:space="preserve">每个因子结果应包含值、单位、时间、算法版本、输入质量和缺失原因。只有市场数据足够、计算口径一致的因子才参与该策略。</w:t>
      </w:r>
    </w:p>
    <w:bookmarkEnd w:id="37"/>
    <w:bookmarkStart w:id="38" w:name="阶段-7股票池筛选与策略匹配"/>
    <w:p>
      <w:pPr>
        <w:pStyle w:val="Heading3"/>
      </w:pPr>
      <w:r>
        <w:t xml:space="preserve">阶段 7：股票池筛选与策略匹配</w:t>
      </w:r>
    </w:p>
    <w:p>
      <w:pPr>
        <w:pStyle w:val="FirstParagraph"/>
      </w:pPr>
      <w:r>
        <w:t xml:space="preserve">区分两种功能：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硬性筛选：</w:t>
      </w:r>
      <w:r>
        <w:t xml:space="preserve"> </w:t>
      </w:r>
      <w:r>
        <w:t xml:space="preserve">排除不满足证券状态、流动性、数据要求或策略适用范围的标的。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排序/研究排名：</w:t>
      </w:r>
      <w:r>
        <w:t xml:space="preserve"> </w:t>
      </w:r>
      <w:r>
        <w:t xml:space="preserve">对已通过硬性筛选的标的按定义明确的因子或策略排序。</w:t>
      </w:r>
    </w:p>
    <w:p>
      <w:pPr>
        <w:pStyle w:val="FirstParagraph"/>
      </w:pPr>
      <w:r>
        <w:t xml:space="preserve">排序分数不是未来收益概率。没有经过统计校准，不应把 80 分解释为“80% 成功率”，也不要让高分绕过风险门禁。</w:t>
      </w:r>
    </w:p>
    <w:p>
      <w:pPr>
        <w:pStyle w:val="BodyText"/>
      </w:pPr>
      <w:r>
        <w:t xml:space="preserve">第一阶段建议只实现少量、定义明确的策略，例如趋势延续、趋势回撤和放量突破。每个策略须声明适用市场环境、必需数据、入场规则、退出规则、失效条件和交易周期。</w:t>
      </w:r>
    </w:p>
    <w:bookmarkEnd w:id="38"/>
    <w:bookmarkStart w:id="39" w:name="阶段-8生成候选信号与交易计划"/>
    <w:p>
      <w:pPr>
        <w:pStyle w:val="Heading3"/>
      </w:pPr>
      <w:r>
        <w:t xml:space="preserve">阶段 8：生成候选信号与交易计划</w:t>
      </w:r>
    </w:p>
    <w:p>
      <w:pPr>
        <w:pStyle w:val="FirstParagraph"/>
      </w:pPr>
      <w:r>
        <w:t xml:space="preserve">对于交易型策略，一个候选信号至少应包含：</w:t>
      </w:r>
    </w:p>
    <w:p>
      <w:pPr>
        <w:pStyle w:val="Compact"/>
        <w:numPr>
          <w:ilvl w:val="0"/>
          <w:numId w:val="1017"/>
        </w:numPr>
      </w:pPr>
      <w:r>
        <w:t xml:space="preserve">信号产生时点和可用数据快照。</w:t>
      </w:r>
    </w:p>
    <w:p>
      <w:pPr>
        <w:pStyle w:val="Compact"/>
        <w:numPr>
          <w:ilvl w:val="0"/>
          <w:numId w:val="1017"/>
        </w:numPr>
      </w:pPr>
      <w:r>
        <w:t xml:space="preserve">入场触发条件，以及信号有效期。</w:t>
      </w:r>
    </w:p>
    <w:p>
      <w:pPr>
        <w:pStyle w:val="Compact"/>
        <w:numPr>
          <w:ilvl w:val="0"/>
          <w:numId w:val="1017"/>
        </w:numPr>
      </w:pPr>
      <w:r>
        <w:t xml:space="preserve">退出规则：止损/风险退出、策略失效、时间退出；如设止盈则明确计算依据。</w:t>
      </w:r>
    </w:p>
    <w:p>
      <w:pPr>
        <w:pStyle w:val="Compact"/>
        <w:numPr>
          <w:ilvl w:val="0"/>
          <w:numId w:val="1017"/>
        </w:numPr>
      </w:pPr>
      <w:r>
        <w:t xml:space="preserve">失效条件与当前未满足条件。</w:t>
      </w:r>
    </w:p>
    <w:p>
      <w:pPr>
        <w:pStyle w:val="Compact"/>
        <w:numPr>
          <w:ilvl w:val="0"/>
          <w:numId w:val="1017"/>
        </w:numPr>
      </w:pPr>
      <w:r>
        <w:t xml:space="preserve">预计持有周期和所用交易价格口径。</w:t>
      </w:r>
    </w:p>
    <w:p>
      <w:pPr>
        <w:pStyle w:val="Compact"/>
        <w:numPr>
          <w:ilvl w:val="0"/>
          <w:numId w:val="1017"/>
        </w:numPr>
      </w:pPr>
      <w:r>
        <w:t xml:space="preserve">预期交易成本的估算方式。</w:t>
      </w:r>
    </w:p>
    <w:p>
      <w:pPr>
        <w:pStyle w:val="FirstParagraph"/>
      </w:pPr>
      <w:r>
        <w:t xml:space="preserve">如果策略只做股票排序，不定义入场和退出，则应输出“研究排名”，不可将其包装成买入指令。</w:t>
      </w:r>
    </w:p>
    <w:bookmarkEnd w:id="39"/>
    <w:bookmarkStart w:id="40" w:name="阶段-9风险否决和组合约束"/>
    <w:p>
      <w:pPr>
        <w:pStyle w:val="Heading3"/>
      </w:pPr>
      <w:r>
        <w:t xml:space="preserve">阶段 9：风险否决和组合约束</w:t>
      </w:r>
    </w:p>
    <w:p>
      <w:pPr>
        <w:pStyle w:val="FirstParagraph"/>
      </w:pPr>
      <w:r>
        <w:t xml:space="preserve">风险检查具有独立否决权，不能被综合分数抵消。</w:t>
      </w:r>
    </w:p>
    <w:p>
      <w:pPr>
        <w:pStyle w:val="BodyText"/>
      </w:pPr>
      <w:r>
        <w:rPr>
          <w:b/>
          <w:bCs/>
        </w:rPr>
        <w:t xml:space="preserve">单股票约束：</w:t>
      </w:r>
      <w:r>
        <w:t xml:space="preserve"> </w:t>
      </w:r>
      <w:r>
        <w:t xml:space="preserve">数据有效性、停牌、限制价、流动性、极端波动、重大事件、交易单位和预估滑点等。</w:t>
      </w:r>
    </w:p>
    <w:p>
      <w:pPr>
        <w:pStyle w:val="BodyText"/>
      </w:pPr>
      <w:r>
        <w:rPr>
          <w:b/>
          <w:bCs/>
        </w:rPr>
        <w:t xml:space="preserve">组合约束：</w:t>
      </w:r>
      <w:r>
        <w:t xml:space="preserve"> </w:t>
      </w:r>
      <w:r>
        <w:t xml:space="preserve">单股/行业集中度、持仓相关性、总仓位、风险预算、现金约束、组合回撤及策略间风险重叠。</w:t>
      </w:r>
    </w:p>
    <w:p>
      <w:pPr>
        <w:pStyle w:val="BodyText"/>
      </w:pPr>
      <w:r>
        <w:rPr>
          <w:b/>
          <w:bCs/>
        </w:rPr>
        <w:t xml:space="preserve">交易规则约束：</w:t>
      </w:r>
      <w:r>
        <w:t xml:space="preserve"> </w:t>
      </w:r>
      <w:r>
        <w:t xml:space="preserve">按证券类别和交易日期检查 T+1、涨跌幅限制、停牌及其他适用制度。制度参数与生效日期需要可更新、可追溯。</w:t>
      </w:r>
    </w:p>
    <w:p>
      <w:pPr>
        <w:pStyle w:val="BodyText"/>
      </w:pPr>
      <w:r>
        <w:t xml:space="preserve">即便第一阶段不连接券商，也应计算一个假设组合中的仓位和风险。具体风险预算、单股上限和仓位算法暂不在主流程中写死，应该作为独立策略/组合配置和验收参数。</w:t>
      </w:r>
    </w:p>
    <w:bookmarkEnd w:id="40"/>
    <w:bookmarkStart w:id="41" w:name="阶段-10仓位执行假设与模拟成交"/>
    <w:p>
      <w:pPr>
        <w:pStyle w:val="Heading3"/>
      </w:pPr>
      <w:r>
        <w:t xml:space="preserve">阶段 10：仓位、执行假设与模拟成交</w:t>
      </w:r>
    </w:p>
    <w:p>
      <w:pPr>
        <w:pStyle w:val="FirstParagraph"/>
      </w:pPr>
      <w:r>
        <w:t xml:space="preserve">这一步用于防止系统只在理论上产生“买得上、卖得出”的信号。</w:t>
      </w:r>
    </w:p>
    <w:p>
      <w:pPr>
        <w:pStyle w:val="Compact"/>
        <w:numPr>
          <w:ilvl w:val="0"/>
          <w:numId w:val="1018"/>
        </w:numPr>
      </w:pPr>
      <w:r>
        <w:t xml:space="preserve">明确仓位方法，例如固定风险预算或基于波动率调整；任何方法都要限制最大仓位和集中度。</w:t>
      </w:r>
    </w:p>
    <w:p>
      <w:pPr>
        <w:pStyle w:val="Compact"/>
        <w:numPr>
          <w:ilvl w:val="0"/>
          <w:numId w:val="1018"/>
        </w:numPr>
      </w:pPr>
      <w:r>
        <w:t xml:space="preserve">明确什么时候可成交。若使用日线收盘数据在当日收盘后生成信号，不能默认以同一根 K 线的收盘价成交；最早成交点应依据系统实际获得信号的时间和可用行情分辨率确定。</w:t>
      </w:r>
    </w:p>
    <w:p>
      <w:pPr>
        <w:pStyle w:val="Compact"/>
        <w:numPr>
          <w:ilvl w:val="0"/>
          <w:numId w:val="1018"/>
        </w:numPr>
      </w:pPr>
      <w:r>
        <w:t xml:space="preserve">模拟佣金、税费、滑点、流动性、成交量参与率、交易单位、停牌、涨跌幅限制与成交排队等影响。</w:t>
      </w:r>
    </w:p>
    <w:p>
      <w:pPr>
        <w:pStyle w:val="Compact"/>
        <w:numPr>
          <w:ilvl w:val="0"/>
          <w:numId w:val="1018"/>
        </w:numPr>
      </w:pPr>
      <w:r>
        <w:t xml:space="preserve">只有日线数据时，不能精确重建盘中成交顺序。若同一根 K 线的高低价同时触及止盈与止损，必须采取明确的保守规则，或使用更细粒度数据；不能选择对策略最有利的触发顺序。</w:t>
      </w:r>
    </w:p>
    <w:p>
      <w:pPr>
        <w:pStyle w:val="Compact"/>
        <w:numPr>
          <w:ilvl w:val="0"/>
          <w:numId w:val="1018"/>
        </w:numPr>
      </w:pPr>
      <w:r>
        <w:t xml:space="preserve">输出预期交易计划与模拟成交状态，不在第一阶段自动下真实订单。</w:t>
      </w:r>
    </w:p>
    <w:bookmarkEnd w:id="41"/>
    <w:bookmarkStart w:id="42" w:name="阶段-11结果输出与审计记录"/>
    <w:p>
      <w:pPr>
        <w:pStyle w:val="Heading3"/>
      </w:pPr>
      <w:r>
        <w:t xml:space="preserve">阶段 11：结果输出与审计记录</w:t>
      </w:r>
    </w:p>
    <w:p>
      <w:pPr>
        <w:pStyle w:val="FirstParagraph"/>
      </w:pPr>
      <w:r>
        <w:t xml:space="preserve">输出分为三层：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事实层：</w:t>
      </w:r>
      <w:r>
        <w:t xml:space="preserve"> </w:t>
      </w:r>
      <w:r>
        <w:t xml:space="preserve">数据值、来源、时间、质量状态。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分析层：</w:t>
      </w:r>
      <w:r>
        <w:t xml:space="preserve"> </w:t>
      </w:r>
      <w:r>
        <w:t xml:space="preserve">因子、指标、市场环境及证据。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决策研究层：</w:t>
      </w:r>
      <w:r>
        <w:t xml:space="preserve"> </w:t>
      </w:r>
      <w:r>
        <w:t xml:space="preserve">策略信号、规则命中/未命中、风险否决、计划仓位和模拟成交假设。</w:t>
      </w:r>
    </w:p>
    <w:p>
      <w:pPr>
        <w:pStyle w:val="FirstParagraph"/>
      </w:pPr>
      <w:r>
        <w:t xml:space="preserve">同时保存输入快照或可复现引用、策略版本、交易规则版本、参数、计算结果、运行日志和失败原因。报告渲染和大模型解释应消费结构化结果，不能修改或覆盖基础事实、硬性风险结论。</w:t>
      </w:r>
    </w:p>
    <w:bookmarkEnd w:id="42"/>
    <w:bookmarkStart w:id="43" w:name="阶段-12后续跟踪"/>
    <w:p>
      <w:pPr>
        <w:pStyle w:val="Heading3"/>
      </w:pPr>
      <w:r>
        <w:t xml:space="preserve">阶段 12：后续跟踪</w:t>
      </w:r>
    </w:p>
    <w:p>
      <w:pPr>
        <w:pStyle w:val="FirstParagraph"/>
      </w:pPr>
      <w:r>
        <w:t xml:space="preserve">记录信号的后续表现，并与信号产生时的预期、适用环境和回测结果比较。监控数据源故障、因子分布变化、信号频率突变、策略表现漂移和组合风险变化。满足暂停条件时，策略应能被降级或停用，而不是继续输出看似正常的分数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策略研发与回测验收"/>
    <w:p>
      <w:pPr>
        <w:pStyle w:val="Heading2"/>
      </w:pPr>
      <w:r>
        <w:t xml:space="preserve">5. 策略研发与回测验收</w:t>
      </w:r>
    </w:p>
    <w:bookmarkStart w:id="45" w:name="回测必须复现真实可执行流程"/>
    <w:p>
      <w:pPr>
        <w:pStyle w:val="Heading3"/>
      </w:pPr>
      <w:r>
        <w:t xml:space="preserve">5.1 回测必须复现真实可执行流程</w:t>
      </w:r>
    </w:p>
    <w:p>
      <w:pPr>
        <w:pStyle w:val="FirstParagraph"/>
      </w:pPr>
      <w:r>
        <w:t xml:space="preserve">回测输入应遵循 point-in-time（按时点可得）原则：历史股票池要包含当时存在的标的，财务和公告数据不能提前使用，信号和最早成交时点必须区分。历史回测还应避免只使用当前仍上市的股票，以减少幸存者偏差；避免使用未来价格、未来财报和未来行业分类等造成前视偏差。[1]</w:t>
      </w:r>
    </w:p>
    <w:p>
      <w:pPr>
        <w:pStyle w:val="BodyText"/>
      </w:pPr>
      <w:r>
        <w:t xml:space="preserve">执行模型应从可用行情分辨率出发。若只有日线数据，就应披露成交模型限制，不应声称重建了真实盘口或排队成交。</w:t>
      </w:r>
    </w:p>
    <w:bookmarkEnd w:id="45"/>
    <w:bookmarkStart w:id="46" w:name="基础回测要求"/>
    <w:p>
      <w:pPr>
        <w:pStyle w:val="Heading3"/>
      </w:pPr>
      <w:r>
        <w:t xml:space="preserve">5.2 基础回测要求</w:t>
      </w:r>
    </w:p>
    <w:p>
      <w:pPr>
        <w:pStyle w:val="Compact"/>
        <w:numPr>
          <w:ilvl w:val="0"/>
          <w:numId w:val="1020"/>
        </w:numPr>
      </w:pPr>
      <w:r>
        <w:t xml:space="preserve">交易事件和资金账本可追溯：信号、委托假设、成交、费用、持仓、现金和退出。</w:t>
      </w:r>
    </w:p>
    <w:p>
      <w:pPr>
        <w:pStyle w:val="Compact"/>
        <w:numPr>
          <w:ilvl w:val="0"/>
          <w:numId w:val="1020"/>
        </w:numPr>
      </w:pPr>
      <w:r>
        <w:t xml:space="preserve">纳入费用、滑点、涨跌幅限制、停牌、T+1、交易单位和流动性约束。</w:t>
      </w:r>
    </w:p>
    <w:p>
      <w:pPr>
        <w:pStyle w:val="Compact"/>
        <w:numPr>
          <w:ilvl w:val="0"/>
          <w:numId w:val="1020"/>
        </w:numPr>
      </w:pPr>
      <w:r>
        <w:t xml:space="preserve">使用适当基准；把策略绝对收益与超额收益区分开。</w:t>
      </w:r>
    </w:p>
    <w:p>
      <w:pPr>
        <w:pStyle w:val="Compact"/>
        <w:numPr>
          <w:ilvl w:val="0"/>
          <w:numId w:val="1020"/>
        </w:numPr>
      </w:pPr>
      <w:r>
        <w:t xml:space="preserve">明确训练/调参区间、验证区间和最终样本外区间。</w:t>
      </w:r>
    </w:p>
    <w:p>
      <w:pPr>
        <w:pStyle w:val="Compact"/>
        <w:numPr>
          <w:ilvl w:val="0"/>
          <w:numId w:val="1020"/>
        </w:numPr>
      </w:pPr>
      <w:r>
        <w:t xml:space="preserve">做滚动向前验证、参数敏感性分析和市场情景测试。</w:t>
      </w:r>
    </w:p>
    <w:p>
      <w:pPr>
        <w:pStyle w:val="Compact"/>
        <w:numPr>
          <w:ilvl w:val="0"/>
          <w:numId w:val="1020"/>
        </w:numPr>
      </w:pPr>
      <w:r>
        <w:t xml:space="preserve">记录所有尝试过的策略与参数，避免只汇报最优版本而忽略多重尝试造成的过拟合风险。[2]</w:t>
      </w:r>
    </w:p>
    <w:bookmarkEnd w:id="46"/>
    <w:bookmarkStart w:id="47" w:name="评价维度"/>
    <w:p>
      <w:pPr>
        <w:pStyle w:val="Heading3"/>
      </w:pPr>
      <w:r>
        <w:t xml:space="preserve">5.3 评价维度</w:t>
      </w:r>
    </w:p>
    <w:p>
      <w:pPr>
        <w:pStyle w:val="FirstParagraph"/>
      </w:pPr>
      <w:r>
        <w:t xml:space="preserve">不能只看胜率或累计收益。至少考察：</w:t>
      </w:r>
    </w:p>
    <w:p>
      <w:pPr>
        <w:pStyle w:val="Compact"/>
        <w:numPr>
          <w:ilvl w:val="0"/>
          <w:numId w:val="1021"/>
        </w:numPr>
      </w:pPr>
      <w:r>
        <w:t xml:space="preserve">扣除成本后的累计/年化收益与基准超额收益。</w:t>
      </w:r>
    </w:p>
    <w:p>
      <w:pPr>
        <w:pStyle w:val="Compact"/>
        <w:numPr>
          <w:ilvl w:val="0"/>
          <w:numId w:val="1021"/>
        </w:numPr>
      </w:pPr>
      <w:r>
        <w:t xml:space="preserve">最大回撤、回撤持续时间、波动率及适用的风险调整收益指标。</w:t>
      </w:r>
    </w:p>
    <w:p>
      <w:pPr>
        <w:pStyle w:val="Compact"/>
        <w:numPr>
          <w:ilvl w:val="0"/>
          <w:numId w:val="1021"/>
        </w:numPr>
      </w:pPr>
      <w:r>
        <w:t xml:space="preserve">胜率、盈亏比、单笔期望收益、交易次数和样本量。</w:t>
      </w:r>
    </w:p>
    <w:p>
      <w:pPr>
        <w:pStyle w:val="Compact"/>
        <w:numPr>
          <w:ilvl w:val="0"/>
          <w:numId w:val="1021"/>
        </w:numPr>
      </w:pPr>
      <w:r>
        <w:t xml:space="preserve">换手率、费用占比、滑点敏感性、仓位暴露和行业集中度。</w:t>
      </w:r>
    </w:p>
    <w:p>
      <w:pPr>
        <w:pStyle w:val="Compact"/>
        <w:numPr>
          <w:ilvl w:val="0"/>
          <w:numId w:val="1021"/>
        </w:numPr>
      </w:pPr>
      <w:r>
        <w:t xml:space="preserve">不同市场状态、行业和时间区间的稳定性。</w:t>
      </w:r>
    </w:p>
    <w:p>
      <w:pPr>
        <w:pStyle w:val="Compact"/>
        <w:numPr>
          <w:ilvl w:val="0"/>
          <w:numId w:val="1021"/>
        </w:numPr>
      </w:pPr>
      <w:r>
        <w:t xml:space="preserve">成交可行性、流动性容量，以及策略规则小幅变化后的敏感性。</w:t>
      </w:r>
    </w:p>
    <w:p>
      <w:pPr>
        <w:pStyle w:val="FirstParagraph"/>
      </w:pPr>
      <w:r>
        <w:t xml:space="preserve">不存在适用于所有策略的统一合格阈值。阈值必须依策略周期、风险预算、基准与实际目的定义，并在看样本外结果之前确定，避免事后挑选标准。</w:t>
      </w:r>
    </w:p>
    <w:bookmarkEnd w:id="47"/>
    <w:bookmarkStart w:id="48" w:name="上线前状态"/>
    <w:p>
      <w:pPr>
        <w:pStyle w:val="Heading3"/>
      </w:pPr>
      <w:r>
        <w:t xml:space="preserve">5.4 上线前状态</w:t>
      </w:r>
    </w:p>
    <w:p>
      <w:pPr>
        <w:pStyle w:val="FirstParagraph"/>
      </w:pPr>
      <w:r>
        <w:t xml:space="preserve">策略状态建议只有明确的生命周期：</w:t>
      </w:r>
    </w:p>
    <w:p>
      <w:pPr>
        <w:pStyle w:val="BodyText"/>
      </w:pPr>
      <w:r>
        <w:rPr>
          <w:rStyle w:val="VerbatimChar"/>
        </w:rPr>
        <w:t xml:space="preserve">draft → backtest → out_of_sample_review → paper_trading → active_research → suspended/retired</w:t>
      </w:r>
    </w:p>
    <w:p>
      <w:pPr>
        <w:pStyle w:val="BodyText"/>
      </w:pPr>
      <w:r>
        <w:t xml:space="preserve">这里的</w:t>
      </w:r>
      <w:r>
        <w:t xml:space="preserve"> </w:t>
      </w:r>
      <w:r>
        <w:rPr>
          <w:rStyle w:val="VerbatimChar"/>
        </w:rPr>
        <w:t xml:space="preserve">active_research</w:t>
      </w:r>
      <w:r>
        <w:t xml:space="preserve"> </w:t>
      </w:r>
      <w:r>
        <w:t xml:space="preserve">仅表示允许用于持续研究或模拟组合，不代表授权真实自动下单。进入下一状态需要保存验收依据、适用范围和回退条件。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第一阶段-mvp-验收清单"/>
    <w:p>
      <w:pPr>
        <w:pStyle w:val="Heading2"/>
      </w:pPr>
      <w:r>
        <w:t xml:space="preserve">6. 第一阶段 MVP 验收清单</w:t>
      </w:r>
    </w:p>
    <w:bookmarkStart w:id="50" w:name="必须做"/>
    <w:p>
      <w:pPr>
        <w:pStyle w:val="Heading3"/>
      </w:pPr>
      <w:r>
        <w:t xml:space="preserve">必须做</w:t>
      </w:r>
    </w:p>
    <w:p>
      <w:pPr>
        <w:pStyle w:val="Compact"/>
        <w:numPr>
          <w:ilvl w:val="0"/>
          <w:numId w:val="1022"/>
        </w:numPr>
      </w:pPr>
      <w:r>
        <w:t xml:space="preserve">☐ A 股股票基础信息、交易日历和证券状态。</w:t>
      </w:r>
    </w:p>
    <w:p>
      <w:pPr>
        <w:pStyle w:val="Compact"/>
        <w:numPr>
          <w:ilvl w:val="0"/>
          <w:numId w:val="1022"/>
        </w:numPr>
      </w:pPr>
      <w:r>
        <w:t xml:space="preserve">☐ 日 K 线与指数日线数据采集、标准化、去重与落库。</w:t>
      </w:r>
    </w:p>
    <w:p>
      <w:pPr>
        <w:pStyle w:val="Compact"/>
        <w:numPr>
          <w:ilvl w:val="0"/>
          <w:numId w:val="1022"/>
        </w:numPr>
      </w:pPr>
      <w:r>
        <w:t xml:space="preserve">☐ 数据来源、业务时间、采集时间、调整口径和缺失状态留痕。</w:t>
      </w:r>
    </w:p>
    <w:p>
      <w:pPr>
        <w:pStyle w:val="Compact"/>
        <w:numPr>
          <w:ilvl w:val="0"/>
          <w:numId w:val="1022"/>
        </w:numPr>
      </w:pPr>
      <w:r>
        <w:t xml:space="preserve">☐ 核心数据质量门禁与按策略定义的必需数据检查。</w:t>
      </w:r>
    </w:p>
    <w:p>
      <w:pPr>
        <w:pStyle w:val="Compact"/>
        <w:numPr>
          <w:ilvl w:val="0"/>
          <w:numId w:val="1022"/>
        </w:numPr>
      </w:pPr>
      <w:r>
        <w:t xml:space="preserve">☐ MA、MACD、RSI、量价、波动和相对强弱等基础因子。</w:t>
      </w:r>
    </w:p>
    <w:p>
      <w:pPr>
        <w:pStyle w:val="Compact"/>
        <w:numPr>
          <w:ilvl w:val="0"/>
          <w:numId w:val="1022"/>
        </w:numPr>
      </w:pPr>
      <w:r>
        <w:t xml:space="preserve">☐ 少量可执行、可解释、带退出/失效条件的策略。</w:t>
      </w:r>
    </w:p>
    <w:p>
      <w:pPr>
        <w:pStyle w:val="Compact"/>
        <w:numPr>
          <w:ilvl w:val="0"/>
          <w:numId w:val="1022"/>
        </w:numPr>
      </w:pPr>
      <w:r>
        <w:t xml:space="preserve">☐ 风险否决、模拟仓位、费用/滑点假设与简化成交模拟。</w:t>
      </w:r>
    </w:p>
    <w:p>
      <w:pPr>
        <w:pStyle w:val="Compact"/>
        <w:numPr>
          <w:ilvl w:val="0"/>
          <w:numId w:val="1022"/>
        </w:numPr>
      </w:pPr>
      <w:r>
        <w:t xml:space="preserve">☐ 结构化分析结果、策略版本、输入快照和异常记录。</w:t>
      </w:r>
    </w:p>
    <w:p>
      <w:pPr>
        <w:pStyle w:val="Compact"/>
        <w:numPr>
          <w:ilvl w:val="0"/>
          <w:numId w:val="1022"/>
        </w:numPr>
      </w:pPr>
      <w:r>
        <w:t xml:space="preserve">☐ 基础历史回测、基准比较和样本外验证入口。</w:t>
      </w:r>
    </w:p>
    <w:bookmarkEnd w:id="50"/>
    <w:bookmarkStart w:id="51" w:name="暂时不做"/>
    <w:p>
      <w:pPr>
        <w:pStyle w:val="Heading3"/>
      </w:pPr>
      <w:r>
        <w:t xml:space="preserve">暂时不做</w:t>
      </w:r>
    </w:p>
    <w:p>
      <w:pPr>
        <w:pStyle w:val="Compact"/>
        <w:numPr>
          <w:ilvl w:val="0"/>
          <w:numId w:val="1023"/>
        </w:numPr>
      </w:pPr>
      <w:r>
        <w:t xml:space="preserve">☐ 不先开发复杂 Agent、多轮问股和大模型主导决策。</w:t>
      </w:r>
    </w:p>
    <w:p>
      <w:pPr>
        <w:pStyle w:val="Compact"/>
        <w:numPr>
          <w:ilvl w:val="0"/>
          <w:numId w:val="1023"/>
        </w:numPr>
      </w:pPr>
      <w:r>
        <w:t xml:space="preserve">☐ 不先覆盖所有市场和所有新闻/另类数据源。</w:t>
      </w:r>
    </w:p>
    <w:p>
      <w:pPr>
        <w:pStyle w:val="Compact"/>
        <w:numPr>
          <w:ilvl w:val="0"/>
          <w:numId w:val="1023"/>
        </w:numPr>
      </w:pPr>
      <w:r>
        <w:t xml:space="preserve">☐ 不先接入自动券商交易。</w:t>
      </w:r>
    </w:p>
    <w:p>
      <w:pPr>
        <w:pStyle w:val="Compact"/>
        <w:numPr>
          <w:ilvl w:val="0"/>
          <w:numId w:val="1023"/>
        </w:numPr>
      </w:pPr>
      <w:r>
        <w:t xml:space="preserve">☐ 不把大量策略和复杂评分当作系统完成度指标。</w:t>
      </w:r>
    </w:p>
    <w:p>
      <w:pPr>
        <w:pStyle w:val="Compact"/>
        <w:numPr>
          <w:ilvl w:val="0"/>
          <w:numId w:val="1023"/>
        </w:numPr>
      </w:pPr>
      <w:r>
        <w:t xml:space="preserve">☐ 不在没有 point-in-time 数据的情况下宣称历史回测可信。</w:t>
      </w:r>
    </w:p>
    <w:bookmarkEnd w:id="51"/>
    <w:bookmarkStart w:id="52" w:name="可视为-mvp-通过的条件"/>
    <w:p>
      <w:pPr>
        <w:pStyle w:val="Heading3"/>
      </w:pPr>
      <w:r>
        <w:t xml:space="preserve">可视为 MVP 通过的条件</w:t>
      </w:r>
    </w:p>
    <w:p>
      <w:pPr>
        <w:pStyle w:val="Compact"/>
        <w:numPr>
          <w:ilvl w:val="0"/>
          <w:numId w:val="1024"/>
        </w:numPr>
      </w:pPr>
      <w:r>
        <w:t xml:space="preserve">对固定输入，指标和规则结果可重复计算。</w:t>
      </w:r>
    </w:p>
    <w:p>
      <w:pPr>
        <w:pStyle w:val="Compact"/>
        <w:numPr>
          <w:ilvl w:val="0"/>
          <w:numId w:val="1024"/>
        </w:numPr>
      </w:pPr>
      <w:r>
        <w:t xml:space="preserve">核心数据不合格时，系统拒绝输出有效交易信号，并留下可检索原因。</w:t>
      </w:r>
    </w:p>
    <w:p>
      <w:pPr>
        <w:pStyle w:val="Compact"/>
        <w:numPr>
          <w:ilvl w:val="0"/>
          <w:numId w:val="1024"/>
        </w:numPr>
      </w:pPr>
      <w:r>
        <w:t xml:space="preserve">对信号可以追溯到输入数据、规则版本和时间点。</w:t>
      </w:r>
    </w:p>
    <w:p>
      <w:pPr>
        <w:pStyle w:val="Compact"/>
        <w:numPr>
          <w:ilvl w:val="0"/>
          <w:numId w:val="1024"/>
        </w:numPr>
      </w:pPr>
      <w:r>
        <w:t xml:space="preserve">在历史验证中，信号时间、成交时间、费用和交易约束有明确规则。</w:t>
      </w:r>
    </w:p>
    <w:p>
      <w:pPr>
        <w:pStyle w:val="Compact"/>
        <w:numPr>
          <w:ilvl w:val="0"/>
          <w:numId w:val="1024"/>
        </w:numPr>
      </w:pPr>
      <w:r>
        <w:t xml:space="preserve">即使数据源临时失败或大模型不可用，基础分析与历史查询仍能工作。</w:t>
      </w:r>
    </w:p>
    <w:p>
      <w:pPr>
        <w:pStyle w:val="FirstParagraph"/>
      </w:pPr>
      <w:r>
        <w:t xml:space="preserve">这些是工程与研究流程的最低验收条件，不代表策略已经具备实盘盈利能力。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关于大模型和复杂度的决定"/>
    <w:p>
      <w:pPr>
        <w:pStyle w:val="Heading2"/>
      </w:pPr>
      <w:r>
        <w:t xml:space="preserve">7. 关于“大模型”和复杂度的决定</w:t>
      </w:r>
    </w:p>
    <w:p>
      <w:pPr>
        <w:pStyle w:val="FirstParagraph"/>
      </w:pPr>
      <w:r>
        <w:t xml:space="preserve">大模型不是基础主流程的必需组件。基础指标、策略规则、风险门禁、仓位计算、回测账本与结果评价应由可测试的确定性逻辑完成。</w:t>
      </w:r>
    </w:p>
    <w:p>
      <w:pPr>
        <w:pStyle w:val="BodyText"/>
      </w:pPr>
      <w:r>
        <w:t xml:space="preserve">后续若引入大模型，优先将其限制在：新闻/公告文本归纳、事件分类辅助、结构化结果的语言解释，以及研究问题辅助整理。模型输出必须保留原始来源，不得替代财务数字或行情事实，不得越过硬性风险否决。模型失败时基础分析应该降级而非中断。</w:t>
      </w:r>
    </w:p>
    <w:p>
      <w:r>
        <w:pict>
          <v:rect style="width:0;height:1.5pt" o:hralign="center" o:hrstd="t" o:hr="t"/>
        </w:pict>
      </w:r>
    </w:p>
    <w:bookmarkEnd w:id="54"/>
    <w:bookmarkStart w:id="55" w:name="关键设计判定"/>
    <w:p>
      <w:pPr>
        <w:pStyle w:val="Heading2"/>
      </w:pPr>
      <w:r>
        <w:t xml:space="preserve">8. 关键设计判定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是否必须先做大模型？</w:t>
      </w:r>
      <w:r>
        <w:t xml:space="preserve"> </w:t>
      </w:r>
      <w:r>
        <w:t xml:space="preserve">否。先完成确定性分析和验证闭环。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是否应该先做完整多因子总评分？</w:t>
      </w:r>
      <w:r>
        <w:t xml:space="preserve"> </w:t>
      </w:r>
      <w:r>
        <w:t xml:space="preserve">否。先独立计算因子与规则，只有验证后才组合。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缺少辅助数据是否整体失败？</w:t>
      </w:r>
      <w:r>
        <w:t xml:space="preserve"> </w:t>
      </w:r>
      <w:r>
        <w:t xml:space="preserve">否，按策略必需数据决定；允许清晰标记的部分分析。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缺少核心数据能否生成有效信号？</w:t>
      </w:r>
      <w:r>
        <w:t xml:space="preserve"> </w:t>
      </w:r>
      <w:r>
        <w:t xml:space="preserve">不能。保存异常并说明原因。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高分能否覆盖风险否决？</w:t>
      </w:r>
      <w:r>
        <w:t xml:space="preserve"> </w:t>
      </w:r>
      <w:r>
        <w:t xml:space="preserve">不能。硬性风险与交易限制独立于排名。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回测能否直接用当前股票池？</w:t>
      </w:r>
      <w:r>
        <w:t xml:space="preserve"> </w:t>
      </w:r>
      <w:r>
        <w:t xml:space="preserve">不能；应尽量恢复历史股票池和时点可得数据。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日线收盘后产生的信号能否按同日收盘成交？</w:t>
      </w:r>
      <w:r>
        <w:t xml:space="preserve"> </w:t>
      </w:r>
      <w:r>
        <w:t xml:space="preserve">不能默认如此；必须依据实际可获得时点和成交模型决定最早执行点。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第一版是否需要实盘下单？</w:t>
      </w:r>
      <w:r>
        <w:t xml:space="preserve"> </w:t>
      </w:r>
      <w:r>
        <w:t xml:space="preserve">不需要；使用模拟仓位和模拟成交跑通闭环。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交易规则是否写死在代码常量？</w:t>
      </w:r>
      <w:r>
        <w:t xml:space="preserve"> </w:t>
      </w:r>
      <w:r>
        <w:t xml:space="preserve">不应；按市场、证券类别和生效日期版本化维护。</w:t>
      </w:r>
    </w:p>
    <w:p>
      <w:r>
        <w:pict>
          <v:rect style="width:0;height:1.5pt" o:hralign="center" o:hrstd="t" o:hr="t"/>
        </w:pict>
      </w:r>
    </w:p>
    <w:bookmarkEnd w:id="55"/>
    <w:bookmarkStart w:id="56" w:name="权威参考资料"/>
    <w:p>
      <w:pPr>
        <w:pStyle w:val="Heading2"/>
      </w:pPr>
      <w:r>
        <w:t xml:space="preserve">9. 权威参考资料</w:t>
      </w:r>
    </w:p>
    <w:p>
      <w:pPr>
        <w:pStyle w:val="FirstParagraph"/>
      </w:pPr>
      <w:r>
        <w:t xml:space="preserve">以下资料用于支持流程设计原则，不代表它们指定了唯一正确的投资策略。交易规则应以届时适用的交易所正式文件为准，并在实现时再次核实条文及生效/暂缓实施安排。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CFA Institute — Backtesting &amp; Simulation, 2026 Curriculum.</w:t>
      </w:r>
      <w:r>
        <w:t xml:space="preserve"> </w:t>
      </w:r>
      <w:r>
        <w:t xml:space="preserve">介绍回测、历史情景分析、模拟、敏感性分析、滚动/向前验证，以及幸存者偏差与前视偏差问题。</w:t>
      </w:r>
      <w:r>
        <w:br/>
      </w:r>
      <w:r>
        <w:t xml:space="preserve">https://www.cfainstitute.org/insights/professional-learning/refresher-readings/2026/backtesting-and-simulation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Bailey, Borwein, López de Prado &amp; Zhu — The Probability of Backtest Overfitting.</w:t>
      </w:r>
      <w:r>
        <w:t xml:space="preserve"> </w:t>
      </w:r>
      <w:r>
        <w:t xml:space="preserve">研究金融策略回测中因反复选择策略造成过拟合的风险。</w:t>
      </w:r>
      <w:r>
        <w:br/>
      </w:r>
      <w:r>
        <w:t xml:space="preserve">https://papers.ssrn.com/sol3/papers.cfm?abstract_id=2326253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上海证券交易所 —《上海证券交易所交易规则（2026年修订）》及配套通知。</w:t>
      </w:r>
      <w:r>
        <w:t xml:space="preserve"> </w:t>
      </w:r>
      <w:r>
        <w:t xml:space="preserve">规则自 2026 年 7 月 6 日起施行；文件同时列出部分暂缓实施条文，实际实现应核验具体适用项。</w:t>
      </w:r>
      <w:r>
        <w:br/>
      </w:r>
      <w:r>
        <w:t xml:space="preserve">https://big5.sse.com.cn/site/cht/www.sse.com.cn/lawandrules/sselawsrules2025/trade/universal/c/c_20260424_10816492.shtml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深圳证券交易所 —《深圳证券交易所交易规则（2026年修订）》发布通知。</w:t>
      </w:r>
      <w:r>
        <w:t xml:space="preserve"> </w:t>
      </w:r>
      <w:r>
        <w:t xml:space="preserve">官方通知说明该规则自 2026 年 7 月 6 日起施行。</w:t>
      </w:r>
      <w:r>
        <w:br/>
      </w:r>
      <w:r>
        <w:t xml:space="preserve">https://investor.szse.cn/lawrules/rule/trade/t20260424_620190.html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CFA Institute — Financial Analysis Techniques, 2026 Curriculum.</w:t>
      </w:r>
      <w:r>
        <w:t xml:space="preserve"> </w:t>
      </w:r>
      <w:r>
        <w:t xml:space="preserve">说明分析一般涉及明确目的、收集和处理数据、分析解释、沟通结论及后续跟踪等步骤。</w:t>
      </w:r>
      <w:r>
        <w:br/>
      </w:r>
      <w:r>
        <w:t xml:space="preserve">https://www.cfainstitute.org/insights/professional-learning/refresher-readings/2026/financial-analysis-techniques</w:t>
      </w:r>
    </w:p>
    <w:p>
      <w:pPr>
        <w:pStyle w:val="FirstParagraph"/>
      </w:pPr>
      <w:r>
        <w:rPr>
          <w:b/>
          <w:bCs/>
        </w:rPr>
        <w:t xml:space="preserve">审档说明：</w:t>
      </w:r>
      <w:r>
        <w:t xml:space="preserve"> </w:t>
      </w:r>
      <w:r>
        <w:t xml:space="preserve">交易制度、数据服务、接口能力和第三方授权可能变化。上述日期和链接用于说明当前设计依据，不替代开发时的最新核对。</w:t>
      </w:r>
    </w:p>
    <w:bookmarkEnd w:id="56"/>
    <w:sectPr w:rsidR="00FC693F" w:rsidRPr="0006063C" w:rsidSect="00034616">
      <w:headerReference r:id="rId9" w:type="default"/>
      <w:footerReference r:id="rId10" w:type="default"/>
      <w:pgSz w:h="15840" w:w="12240"/>
      <w:pgMar w:bottom="1037" w:footer="720" w:gutter="0" w:header="720" w:left="1181" w:right="1181" w:top="103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E7882"/>
        <w:sz w:val="16"/>
      </w:rPr>
      <w:t xml:space="preserve">内部设计文档  •  2026-10-20  •  第 </w:t>
    </w:r>
    <w:fldSimple w:instr="PAGE"/>
    <w:r>
      <w:rPr>
        <w:rFonts w:ascii="Noto Sans CJK SC" w:hAnsi="Noto Sans CJK SC" w:eastAsia="Noto Sans CJK SC"/>
        <w:color w:val="6E7882"/>
        <w:sz w:val="16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E7882"/>
        <w:sz w:val="16"/>
      </w:rPr>
      <w:t>个人 A 股分析系统  |  主流程设计与复审记录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zh-CN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283" w:lineRule="auto"/>
    </w:pPr>
    <w:rPr>
      <w:rFonts w:ascii="Noto Sans CJK SC" w:eastAsia="Noto Sans CJK SC" w:hAnsi="Noto Sans CJK SC"/>
      <w:color w:val="28303A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00" w:before="240"/>
      <w:outlineLvl w:val="0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1F4E79"/>
      <w:sz w:val="3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 w:before="240"/>
      <w:outlineLvl w:val="1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2F6299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00" w:before="240"/>
      <w:outlineLvl w:val="2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374B5F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00" w:before="0" w:line="240" w:lineRule="auto"/>
      <w:contextualSpacing/>
    </w:pPr>
    <w:rPr>
      <w:rFonts w:ascii="Noto Sans CJK SC" w:asciiTheme="majorHAnsi" w:cstheme="majorBidi" w:eastAsia="Noto Sans CJK SC" w:eastAsiaTheme="majorEastAsia" w:hAnsi="Noto Sans CJK SC" w:hAnsiTheme="majorHAnsi"/>
      <w:b/>
      <w:color w:val="1F4E79"/>
      <w:spacing w:val="5"/>
      <w:kern w:val="28"/>
      <w:sz w:val="50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before="0"/>
    </w:pPr>
    <w:rPr>
      <w:rFonts w:ascii="Noto Sans CJK SC" w:asciiTheme="majorHAnsi" w:cstheme="majorBidi" w:eastAsia="Noto Sans CJK SC" w:eastAsiaTheme="majorEastAsia" w:hAnsi="Noto Sans CJK SC" w:hAnsiTheme="majorHAnsi"/>
      <w:b w:val="0"/>
      <w:i/>
      <w:iCs/>
      <w:color w:val="5F6E7D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80" w:line="283" w:lineRule="auto"/>
    </w:pPr>
    <w:rPr>
      <w:rFonts w:ascii="Noto Sans CJK SC" w:eastAsia="Noto Sans CJK SC" w:hAnsi="Noto Sans CJK SC"/>
      <w:color w:val="28303A"/>
      <w:sz w:val="20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Noto Sans CJK SC" w:eastAsia="Noto Sans CJK SC" w:hAnsi="Noto Sans CJK SC"/>
      <w:sz w:val="20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Noto Sans CJK SC" w:eastAsia="Noto Sans CJK SC" w:hAnsi="Noto Sans CJK SC"/>
      <w:sz w:val="20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80" w:line="283" w:lineRule="auto"/>
    </w:pPr>
    <w:rPr>
      <w:rFonts w:ascii="Noto Sans CJK SC" w:eastAsia="Noto Sans CJK SC" w:hAnsi="Noto Sans CJK SC"/>
      <w:b/>
      <w:bCs/>
      <w:color w:val="28303A"/>
      <w:sz w:val="20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Noto Sans CJK SC" w:eastAsia="Noto Sans CJK SC" w:hAnsi="Noto Sans CJK SC"/>
      <w:sz w:val="18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 A 股分析系统：主流程设计与复审记录</dc:title>
  <dc:creator/>
  <dc:language>zh-CN</dc:language>
  <cp:keywords/>
  <dcterms:created xsi:type="dcterms:W3CDTF">2026-10-20T10:07:20Z</dcterms:created>
  <dcterms:modified xsi:type="dcterms:W3CDTF">2026-10-20T10:07:20Z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2026-10-20</vt:lpwstr>
  </property>
  <property fmtid="{D5CDD505-2E9C-101B-9397-08002B2CF9AE}" pid="3" name="subtitle">
    <vt:lpwstr>交易研究流程基线</vt:lpwstr>
  </property>
</Properties>
</file>