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Market Dashboard Auto</w:t>
      </w:r>
    </w:p>
    <w:p>
      <w:pPr>
        <w:jc w:val="center"/>
      </w:pPr>
      <w:r>
        <w:rPr>
          <w:sz w:val="28"/>
        </w:rPr>
        <w:t>Project Report — Data Pipeline &amp; Composite Indicator Layer</w:t>
      </w:r>
    </w:p>
    <w:p/>
    <w:p/>
    <w:p/>
    <w:p>
      <w:pPr>
        <w:jc w:val="center"/>
      </w:pPr>
      <w:r>
        <w:rPr>
          <w:i/>
          <w:sz w:val="22"/>
        </w:rPr>
        <w:t>Report dated 5 May 2026</w:t>
      </w:r>
    </w:p>
    <w:p>
      <w:r>
        <w:br w:type="page"/>
      </w:r>
    </w:p>
    <w:p>
      <w:pPr>
        <w:pStyle w:val="Heading1"/>
      </w:pPr>
      <w:r>
        <w:t>Step 2 — Equation library probe</w:t>
      </w:r>
    </w:p>
    <w:p>
      <w:r>
        <w:t>This section renders every equation slated for inclusion in the report body, presented as display equations for typography review. Each equation is preceded by its symbolic label and a one-line description of where it appears in the report. Reviewer to confirm: (a) every equation parses as a native Word equation object, (b) italic-symbol / upright-label conventions are correct, (c) piecewise / cases constructions render legibly, and (d) operator spacing is consistent. Once signed off, Steps 3–5 embed these equations into body prose by reference.</w:t>
      </w:r>
    </w:p>
    <w:p>
      <w:r>
        <w:rPr>
          <w:i/>
        </w:rPr>
        <w:t>Equation count: 25.</w:t>
      </w:r>
    </w:p>
    <w:p>
      <w:pPr>
        <w:spacing w:before="200" w:after="40"/>
      </w:pPr>
      <w:r>
        <w:rPr>
          <w:b/>
          <w:sz w:val="22"/>
        </w:rPr>
        <w:t>USD-adjusted return identity</w:t>
      </w:r>
    </w:p>
    <w:p>
      <w:pPr>
        <w:spacing w:after="80"/>
      </w:pPr>
      <w:r>
        <w:rPr>
          <w:i/>
          <w:sz w:val="19"/>
        </w:rPr>
        <w:t>FX composition for foreign-currency instruments</w:t>
      </w:r>
    </w:p>
    <w:p>
      <w:pPr>
        <w:spacing w:before="40" w:after="160"/>
        <w:jc w:val="center"/>
      </w:pPr>
      <m:oMathPara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USD</m:t>
              </m:r>
            </m:sub>
          </m:sSub>
          <m:r>
            <m:t>=</m:t>
          </m:r>
          <m:d>
            <m:dPr>
              <m:begChr m:val="("/>
              <m:endChr m:val=")"/>
            </m:dPr>
            <m:e>
              <m:r>
                <m:rPr>
                  <m:sty m:val="p"/>
                </m:rPr>
                <m:t>1+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local</m:t>
                  </m:r>
                </m:sub>
              </m:sSub>
            </m:e>
          </m:d>
          <m:d>
            <m:dPr>
              <m:begChr m:val="("/>
              <m:endChr m:val=")"/>
            </m:dPr>
            <m:e>
              <m:r>
                <m:rPr>
                  <m:sty m:val="p"/>
                </m:rPr>
                <m:t>1+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FX</m:t>
                  </m:r>
                </m:sub>
              </m:sSub>
            </m:e>
          </m:d>
          <m:r>
            <m:t>−1</m:t>
          </m:r>
        </m:oMath>
      </m:oMathPara>
    </w:p>
    <w:p>
      <w:pPr>
        <w:spacing w:before="200" w:after="40"/>
      </w:pPr>
      <w:r>
        <w:rPr>
          <w:b/>
          <w:sz w:val="22"/>
        </w:rPr>
        <w:t>LSE pence correction</w:t>
      </w:r>
    </w:p>
    <w:p>
      <w:pPr>
        <w:spacing w:after="80"/>
      </w:pPr>
      <w:r>
        <w:rPr>
          <w:i/>
          <w:sz w:val="19"/>
        </w:rPr>
        <w:t>Dynamic divisor for ‘.L’ tickers reporting in GBp</w:t>
      </w:r>
    </w:p>
    <w:p>
      <w:pPr>
        <w:spacing w:before="40" w:after="160"/>
        <w:jc w:val="center"/>
      </w:pPr>
      <m:oMathPara>
        <m:oMath>
          <m:sSup>
            <m:e>
              <m:r>
                <m:t>x</m:t>
              </m:r>
            </m:e>
            <m:sup>
              <m:r>
                <m:t>′</m:t>
              </m:r>
            </m:sup>
          </m:sSup>
          <m:r>
            <m:t>=</m:t>
          </m:r>
          <m:d>
            <m:dPr>
              <m:begChr m:val="{"/>
              <m:endChr m:val=""/>
            </m:dPr>
            <m:e>
              <m:eqArr>
                <m:eqArrPr>
                  <m:baseJc m:val="center"/>
                </m:eqArrPr>
                <m:e>
                  <m:f>
                    <m:num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100</m:t>
                      </m:r>
                    </m:den>
                  </m:f>
                  <m:r>
                    <m:rPr>
                      <m:sty m:val="p"/>
                    </m:rPr>
                    <m:t>,   if ticker ends ‘.L’ and median(x) &gt; 50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,   otherwise</m:t>
                  </m:r>
                </m:e>
              </m:eqAr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Friday-spine alignment</w:t>
      </w:r>
    </w:p>
    <w:p>
      <w:pPr>
        <w:spacing w:after="80"/>
      </w:pPr>
      <w:r>
        <w:rPr>
          <w:i/>
          <w:sz w:val="19"/>
        </w:rPr>
        <w:t>Weekly snapshot from arbitrary-cadence series</w:t>
      </w:r>
    </w:p>
    <w:p>
      <w:pPr>
        <w:spacing w:before="40" w:after="160"/>
        <w:jc w:val="center"/>
      </w:pPr>
      <m:oMathPara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F</m:t>
              </m:r>
            </m:sup>
          </m:sSubSup>
          <m:r>
            <m:t>=</m:t>
          </m:r>
          <m:r>
            <m:t>S</m:t>
          </m:r>
          <m:d>
            <m:dPr>
              <m:begChr m:val="("/>
              <m:endChr m:val=")"/>
            </m:dPr>
            <m:e>
              <m:r>
                <m:t>τ</m:t>
              </m:r>
            </m:e>
          </m:d>
          <m:r>
            <m:rPr>
              <m:sty m:val="p"/>
            </m:rPr>
            <m:t>,   τ = max</m:t>
          </m:r>
          <m:d>
            <m:dPr>
              <m:begChr m:val="("/>
              <m:endChr m:val=")"/>
            </m:dPr>
            <m:e>
              <m:r>
                <m:rPr>
                  <m:sty m:val="p"/>
                </m:rPr>
                <m:t>s ≤ t : S(s) defined</m:t>
              </m: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Rolling z-score</w:t>
      </w:r>
    </w:p>
    <w:p>
      <w:pPr>
        <w:spacing w:after="80"/>
      </w:pPr>
      <w:r>
        <w:rPr>
          <w:i/>
          <w:sz w:val="19"/>
        </w:rPr>
        <w:t>Three-year window, 52-week warm-up</w:t>
      </w:r>
    </w:p>
    <w:p>
      <w:pPr>
        <w:spacing w:before="40" w:after="160"/>
        <w:jc w:val="center"/>
      </w:pPr>
      <m:oMathPara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t>=</m:t>
          </m:r>
          <m:f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−</m:t>
              </m:r>
              <m:sSub>
                <m:e>
                  <m:r>
                    <m:t>μ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t</m:t>
                  </m:r>
                </m:e>
              </m:d>
            </m:den>
          </m:f>
        </m:oMath>
      </m:oMathPara>
    </w:p>
    <w:p>
      <w:pPr>
        <w:spacing w:before="200" w:after="40"/>
      </w:pPr>
      <w:r>
        <w:rPr>
          <w:b/>
          <w:sz w:val="22"/>
        </w:rPr>
        <w:t>Window mean (μ_W)</w:t>
      </w:r>
    </w:p>
    <w:p>
      <w:pPr>
        <w:spacing w:after="80"/>
      </w:pPr>
      <w:r>
        <w:rPr>
          <w:i/>
          <w:sz w:val="19"/>
        </w:rPr>
        <w:t>Window definition, parameter values</w:t>
      </w:r>
    </w:p>
    <w:p>
      <w:pPr>
        <w:spacing w:before="40" w:after="160"/>
        <w:jc w:val="center"/>
      </w:pPr>
      <m:oMathPara>
        <m:oMath>
          <m:sSub>
            <m:e>
              <m:r>
                <m:t>μ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</m:dPr>
            <m:e>
              <m:r>
                <m:t>t</m:t>
              </m:r>
            </m:e>
          </m:d>
          <m:r>
            <m:t>=</m:t>
          </m:r>
          <m:f>
            <m:num>
              <m:r>
                <m:rPr>
                  <m:sty m:val="p"/>
                </m:rPr>
                <m:t>1</m:t>
              </m:r>
            </m:num>
            <m:den>
              <m:r>
                <m:t>W</m:t>
              </m:r>
            </m:den>
          </m:f>
          <m:nary>
            <m:naryPr>
              <m:chr m:val="∑"/>
              <m:limLoc m:val="undOvr"/>
            </m:naryPr>
            <m:sub>
              <m:r>
                <m:rPr>
                  <m:sty m:val="p"/>
                </m:rPr>
                <m:t>i=0</m:t>
              </m:r>
            </m:sub>
            <m:sup>
              <m:r>
                <m:rPr>
                  <m:sty m:val="p"/>
                </m:rPr>
                <m:t>W−1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t−i</m:t>
                  </m:r>
                </m:sub>
              </m:sSub>
            </m:e>
          </m:nary>
          <m:r>
            <m:rPr>
              <m:sty m:val="p"/>
            </m:rPr>
            <m:t>,   W = 156,   min_periods = 52</m:t>
          </m:r>
        </m:oMath>
      </m:oMathPara>
    </w:p>
    <w:p>
      <w:pPr>
        <w:spacing w:before="200" w:after="40"/>
      </w:pPr>
      <w:r>
        <w:rPr>
          <w:b/>
          <w:sz w:val="22"/>
        </w:rPr>
        <w:t>Log-ratio indicator family</w:t>
      </w:r>
    </w:p>
    <w:p>
      <w:pPr>
        <w:spacing w:after="80"/>
      </w:pPr>
      <w:r>
        <w:rPr>
          <w:i/>
          <w:sz w:val="19"/>
        </w:rPr>
        <w:t>Primary calculator template</w:t>
      </w:r>
    </w:p>
    <w:p>
      <w:pPr>
        <w:spacing w:before="40" w:after="160"/>
        <w:jc w:val="center"/>
      </w:pPr>
      <m:oMathPara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t>=</m:t>
          </m:r>
          <m:func>
            <m:fName>
              <m:r>
                <m:rPr>
                  <m:sty m:val="p"/>
                </m:rPr>
                <m:t>log</m:t>
              </m:r>
            </m:fName>
            <m:e>
              <m:f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func>
        </m:oMath>
      </m:oMathPara>
    </w:p>
    <w:p>
      <w:pPr>
        <w:spacing w:before="200" w:after="40"/>
      </w:pPr>
      <w:r>
        <w:rPr>
          <w:b/>
          <w:sz w:val="22"/>
        </w:rPr>
        <w:t>Composite log-ratio</w:t>
      </w:r>
    </w:p>
    <w:p>
      <w:pPr>
        <w:spacing w:after="80"/>
      </w:pPr>
      <w:r>
        <w:rPr>
          <w:i/>
          <w:sz w:val="19"/>
        </w:rPr>
        <w:t>Multi-input log-ratio average</w:t>
      </w:r>
    </w:p>
    <w:p>
      <w:pPr>
        <w:spacing w:before="40" w:after="160"/>
        <w:jc w:val="center"/>
      </w:pPr>
      <m:oMathPara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t>=</m:t>
          </m:r>
          <m:f>
            <m:num>
              <m:r>
                <m:rPr>
                  <m:sty m:val="p"/>
                </m:rP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</m:naryPr>
            <m:sub>
              <m:r>
                <m:rPr>
                  <m:sty m:val="p"/>
                </m:rPr>
                <m:t>i=1</m:t>
              </m:r>
            </m:sub>
            <m:sup>
              <m:r>
                <m:t>k</m:t>
              </m:r>
            </m:sup>
            <m:e>
              <m:func>
                <m:fName>
                  <m:r>
                    <m:rPr>
                      <m:sty m:val="p"/>
                    </m:rPr>
                    <m:t>log</m:t>
                  </m:r>
                </m:fName>
                <m:e>
                  <m:f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i,t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i,t</m:t>
                          </m:r>
                        </m:sub>
                      </m:sSub>
                    </m:den>
                  </m:f>
                </m:e>
              </m:func>
            </m:e>
          </m:nary>
        </m:oMath>
      </m:oMathPara>
    </w:p>
    <w:p>
      <w:pPr>
        <w:spacing w:before="200" w:after="40"/>
      </w:pPr>
      <w:r>
        <w:rPr>
          <w:b/>
          <w:sz w:val="22"/>
        </w:rPr>
        <w:t>Arithmetic-difference indicator</w:t>
      </w:r>
    </w:p>
    <w:p>
      <w:pPr>
        <w:spacing w:after="80"/>
      </w:pPr>
      <w:r>
        <w:rPr>
          <w:i/>
          <w:sz w:val="19"/>
        </w:rPr>
        <w:t>Used for yield-curve and spread differences</w:t>
      </w:r>
    </w:p>
    <w:p>
      <w:pPr>
        <w:spacing w:before="40" w:after="160"/>
        <w:jc w:val="center"/>
      </w:pPr>
      <m:oMathPara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t>−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200" w:after="40"/>
      </w:pPr>
      <w:r>
        <w:rPr>
          <w:b/>
          <w:sz w:val="22"/>
        </w:rPr>
        <w:t>Year-on-year transform</w:t>
      </w:r>
    </w:p>
    <w:p>
      <w:pPr>
        <w:spacing w:after="80"/>
      </w:pPr>
      <w:r>
        <w:rPr>
          <w:i/>
          <w:sz w:val="19"/>
        </w:rPr>
        <w:t>Monthly cadence YoY change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YoY</m:t>
          </m:r>
          <m:d>
            <m:dPr>
              <m:begChr m:val="("/>
              <m:endChr m:val=")"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t>=</m:t>
          </m:r>
          <m:f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t−12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t−12</m:t>
                  </m:r>
                </m:sub>
              </m:sSub>
            </m:den>
          </m:f>
        </m:oMath>
      </m:oMathPara>
    </w:p>
    <w:p>
      <w:pPr>
        <w:spacing w:before="200" w:after="40"/>
      </w:pPr>
      <w:r>
        <w:rPr>
          <w:b/>
          <w:sz w:val="22"/>
        </w:rPr>
        <w:t>3-bucket regime classifier</w:t>
      </w:r>
    </w:p>
    <w:p>
      <w:pPr>
        <w:spacing w:after="80"/>
      </w:pPr>
      <w:r>
        <w:rPr>
          <w:i/>
          <w:sz w:val="19"/>
        </w:rPr>
        <w:t>Standard ±1σ regime helper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regime</m:t>
          </m:r>
          <m:d>
            <m:dPr>
              <m:begChr m:val="("/>
              <m:endChr m:val=")"/>
            </m:dPr>
            <m:e>
              <m:r>
                <m:t>z</m:t>
              </m:r>
            </m:e>
          </m:d>
          <m:r>
            <m:t>=</m:t>
          </m:r>
          <m:d>
            <m:dPr>
              <m:begChr m:val="{"/>
              <m:endChr m:val=""/>
            </m:dPr>
            <m:e>
              <m:eqArr>
                <m:eqArrPr>
                  <m:baseJc m:val="center"/>
                </m:eqArrPr>
                <m:e>
                  <m:r>
                    <m:rPr>
                      <m:sty m:val="p"/>
                    </m:rPr>
                    <m:t>L₊</m:t>
                  </m:r>
                  <m:r>
                    <m:rPr>
                      <m:sty m:val="p"/>
                    </m:rPr>
                    <m:t>,   if z &gt; +1</m:t>
                  </m:r>
                </m:e>
                <m:e>
                  <m:r>
                    <m:rPr>
                      <m:sty m:val="p"/>
                    </m:rPr>
                    <m:t>L₀</m:t>
                  </m:r>
                  <m:r>
                    <m:rPr>
                      <m:sty m:val="p"/>
                    </m:rPr>
                    <m:t>,   if |z| ≤ 1</m:t>
                  </m:r>
                </m:e>
                <m:e>
                  <m:r>
                    <m:rPr>
                      <m:sty m:val="p"/>
                    </m:rPr>
                    <m:t>L₋</m:t>
                  </m:r>
                  <m:r>
                    <m:rPr>
                      <m:sty m:val="p"/>
                    </m:rPr>
                    <m:t>,   if z &lt; −1</m:t>
                  </m:r>
                </m:e>
              </m:eqAr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Forward-regime slope</w:t>
      </w:r>
    </w:p>
    <w:p>
      <w:pPr>
        <w:spacing w:after="80"/>
      </w:pPr>
      <w:r>
        <w:rPr>
          <w:i/>
          <w:sz w:val="19"/>
        </w:rPr>
        <w:t>Eight-week z-score slope</w:t>
      </w:r>
    </w:p>
    <w:p>
      <w:pPr>
        <w:spacing w:before="40" w:after="160"/>
        <w:jc w:val="center"/>
      </w:pPr>
      <m:oMathPara>
        <m:oMath>
          <m:r>
            <m:t>β</m:t>
          </m:r>
          <m:r>
            <m:t>=</m:t>
          </m:r>
          <m:f>
            <m:num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t−8</m:t>
                  </m:r>
                </m:sub>
              </m:sSub>
            </m:num>
            <m:den>
              <m:r>
                <m:rPr>
                  <m:sty m:val="p"/>
                </m:rPr>
                <m:t>8</m:t>
              </m:r>
            </m:den>
          </m:f>
        </m:oMath>
      </m:oMathPara>
    </w:p>
    <w:p>
      <w:pPr>
        <w:spacing w:before="200" w:after="40"/>
      </w:pPr>
      <w:r>
        <w:rPr>
          <w:b/>
          <w:sz w:val="22"/>
        </w:rPr>
        <w:t>Forward-regime classification</w:t>
      </w:r>
    </w:p>
    <w:p>
      <w:pPr>
        <w:spacing w:after="80"/>
      </w:pPr>
      <w:r>
        <w:rPr>
          <w:i/>
          <w:sz w:val="19"/>
        </w:rPr>
        <w:t>Piecewise on β with ±0.15 thresholds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fwd_regime</m:t>
          </m:r>
          <m:r>
            <m:t>=</m:t>
          </m:r>
          <m:d>
            <m:dPr>
              <m:begChr m:val="{"/>
              <m:endChr m:val=""/>
            </m:dPr>
            <m:e>
              <m:eqArr>
                <m:eqArrPr>
                  <m:baseJc m:val="center"/>
                </m:eqArrPr>
                <m:e>
                  <m:r>
                    <m:rPr>
                      <m:sty m:val="p"/>
                    </m:rPr>
                    <m:t>improving</m:t>
                  </m:r>
                  <m:r>
                    <m:rPr>
                      <m:sty m:val="p"/>
                    </m:rPr>
                    <m:t>,       if β &gt; +0.15</m:t>
                  </m:r>
                </m:e>
                <m:e>
                  <m:r>
                    <m:rPr>
                      <m:sty m:val="p"/>
                    </m:rPr>
                    <m:t>stable</m:t>
                  </m:r>
                  <m:r>
                    <m:rPr>
                      <m:sty m:val="p"/>
                    </m:rPr>
                    <m:t>,         if |β| ≤ 0.15</m:t>
                  </m:r>
                </m:e>
                <m:e>
                  <m:r>
                    <m:rPr>
                      <m:sty m:val="p"/>
                    </m:rPr>
                    <m:t>deteriorating</m:t>
                  </m:r>
                  <m:r>
                    <m:rPr>
                      <m:sty m:val="p"/>
                    </m:rPr>
                    <m:t>,  if β &lt; −0.15</m:t>
                  </m:r>
                </m:e>
              </m:eqAr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Z-score trend — intensifying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intensifying:    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e>
          </m:d>
          <m:r>
            <m:t>&gt;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t−1</m:t>
                  </m:r>
                </m:sub>
              </m:sSub>
            </m:e>
          </m:d>
          <m:r>
            <m:rPr>
              <m:sty m:val="p"/>
            </m:rPr>
            <m:t>    ∧    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e>
          </m:d>
          <m:r>
            <m:t>&gt;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t−4</m:t>
                  </m:r>
                </m:sub>
              </m:sSub>
            </m:e>
          </m:d>
          <m:r>
            <m:rPr>
              <m:sty m:val="p"/>
            </m:rPr>
            <m:t>    ∧    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e>
          </m:d>
          <m:r>
            <m:t>≥</m:t>
          </m:r>
          <m:r>
            <m:rPr>
              <m:sty m:val="p"/>
            </m:rPr>
            <m:t>0.9 ·</m:t>
          </m:r>
          <m:r>
            <m:rPr>
              <m:sty m:val="p"/>
            </m:rPr>
            <m:t>max</m:t>
          </m:r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sty m:val="p"/>
                </m:rPr>
                <m:t>[t−13, t]</m:t>
              </m:r>
            </m:sub>
          </m:sSub>
          <m:d>
            <m:dPr>
              <m:begChr m:val="|"/>
              <m:endChr m:val="|"/>
            </m:dPr>
            <m:e>
              <m:r>
                <m:t>z</m:t>
              </m: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Z-score trend — fading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fading:    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e>
          </m:d>
          <m:r>
            <m:t>&lt;</m:t>
          </m:r>
          <m:r>
            <m:rPr>
              <m:sty m:val="p"/>
            </m:rPr>
            <m:t>0.9 ·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t−4</m:t>
                  </m:r>
                </m:sub>
              </m:sSub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Z-score trend — reversing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reversing:    </m:t>
          </m:r>
          <m:r>
            <m:rPr>
              <m:sty m:val="p"/>
            </m:rPr>
            <m:t>sgn</m:t>
          </m:r>
          <m:d>
            <m:dPr>
              <m:begChr m:val="("/>
              <m:endChr m:val=")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e>
          </m:d>
          <m:r>
            <m:t>≠</m:t>
          </m:r>
          <m:r>
            <m:rPr>
              <m:sty m:val="p"/>
            </m:rPr>
            <m:t>sgn</m:t>
          </m:r>
          <m:d>
            <m:dPr>
              <m:begChr m:val="("/>
              <m:endChr m:val=")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t−4</m:t>
                  </m:r>
                </m:sub>
              </m:sSub>
            </m:e>
          </m:d>
          <m:r>
            <m:rPr>
              <m:sty m:val="p"/>
            </m:rPr>
            <m:t>    ∧    </m:t>
          </m:r>
          <m:d>
            <m:dPr>
              <m:begChr m:val="|"/>
              <m:endChr m:val="|"/>
            </m:dPr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t−4</m:t>
                  </m:r>
                </m:sub>
              </m:sSub>
            </m:e>
          </m:d>
          <m:r>
            <m:t>&gt;</m:t>
          </m:r>
          <m:r>
            <m:rPr>
              <m:sty m:val="p"/>
            </m:rPr>
            <m:t>0.5</m:t>
          </m:r>
        </m:oMath>
      </m:oMathPara>
    </w:p>
    <w:p>
      <w:pPr>
        <w:spacing w:before="200" w:after="40"/>
      </w:pPr>
      <w:r>
        <w:rPr>
          <w:b/>
          <w:sz w:val="22"/>
        </w:rPr>
        <w:t>US_G1 — XLY / XLP</w:t>
      </w:r>
    </w:p>
    <w:p>
      <w:pPr>
        <w:spacing w:after="80"/>
      </w:pPr>
      <w:r>
        <w:rPr>
          <w:i/>
          <w:sz w:val="19"/>
        </w:rPr>
        <w:t>Equity rotation worked example</w:t>
      </w:r>
    </w:p>
    <w:p>
      <w:pPr>
        <w:spacing w:before="40" w:after="160"/>
        <w:jc w:val="center"/>
      </w:pPr>
      <m:oMathPara>
        <m:oMath>
          <m:r>
            <m:t>I</m:t>
          </m:r>
          <m:r>
            <m:t>=</m:t>
          </m:r>
          <m:func>
            <m:fName>
              <m:r>
                <m:rPr>
                  <m:sty m:val="p"/>
                </m:rPr>
                <m:t>log</m:t>
              </m:r>
            </m:fName>
            <m:e>
              <m:f>
                <m:num>
                  <m:r>
                    <m:rPr>
                      <m:sty m:val="p"/>
                    </m:rPr>
                    <m:t>XLY</m:t>
                  </m:r>
                </m:num>
                <m:den>
                  <m:r>
                    <m:rPr>
                      <m:sty m:val="p"/>
                    </m:rPr>
                    <m:t>XLP</m:t>
                  </m:r>
                </m:den>
              </m:f>
            </m:e>
          </m:func>
        </m:oMath>
      </m:oMathPara>
    </w:p>
    <w:p>
      <w:pPr>
        <w:spacing w:before="200" w:after="40"/>
      </w:pPr>
      <w:r>
        <w:rPr>
          <w:b/>
          <w:sz w:val="22"/>
        </w:rPr>
        <w:t>US_G2 — (XLI+XLF) / (XLU+XLP)</w:t>
      </w:r>
    </w:p>
    <w:p>
      <w:pPr>
        <w:spacing w:after="80"/>
      </w:pPr>
      <w:r>
        <w:rPr>
          <w:i/>
          <w:sz w:val="19"/>
        </w:rPr>
        <w:t>Composite equity rotation</w:t>
      </w:r>
    </w:p>
    <w:p>
      <w:pPr>
        <w:spacing w:before="40" w:after="160"/>
        <w:jc w:val="center"/>
      </w:pPr>
      <m:oMathPara>
        <m:oMath>
          <m:r>
            <m:t>I</m:t>
          </m:r>
          <m:r>
            <m:t>=</m:t>
          </m:r>
          <m:func>
            <m:fName>
              <m:r>
                <m:rPr>
                  <m:sty m:val="p"/>
                </m:rPr>
                <m:t>log</m:t>
              </m:r>
            </m:fName>
            <m:e>
              <m:f>
                <m:num>
                  <m:r>
                    <m:rPr>
                      <m:sty m:val="p"/>
                    </m:rPr>
                    <m:t>XLI</m:t>
                  </m:r>
                  <m:r>
                    <m:t>+</m:t>
                  </m:r>
                  <m:r>
                    <m:rPr>
                      <m:sty m:val="p"/>
                    </m:rPr>
                    <m:t>XLF</m:t>
                  </m:r>
                </m:num>
                <m:den>
                  <m:r>
                    <m:rPr>
                      <m:sty m:val="p"/>
                    </m:rPr>
                    <m:t>XLU</m:t>
                  </m:r>
                  <m:r>
                    <m:t>+</m:t>
                  </m:r>
                  <m:r>
                    <m:rPr>
                      <m:sty m:val="p"/>
                    </m:rPr>
                    <m:t>XLP</m:t>
                  </m:r>
                </m:den>
              </m:f>
            </m:e>
          </m:func>
        </m:oMath>
      </m:oMathPara>
    </w:p>
    <w:p>
      <w:pPr>
        <w:spacing w:before="200" w:after="40"/>
      </w:pPr>
      <w:r>
        <w:rPr>
          <w:b/>
          <w:sz w:val="22"/>
        </w:rPr>
        <w:t>US_R1 — 10Y − 3M</w:t>
      </w:r>
    </w:p>
    <w:p>
      <w:pPr>
        <w:spacing w:after="80"/>
      </w:pPr>
      <w:r>
        <w:rPr>
          <w:i/>
          <w:sz w:val="19"/>
        </w:rPr>
        <w:t>Yield curve, raw</w:t>
      </w:r>
    </w:p>
    <w:p>
      <w:pPr>
        <w:spacing w:before="40" w:after="160"/>
        <w:jc w:val="center"/>
      </w:pPr>
      <m:oMathPara>
        <m:oMath>
          <m:r>
            <m:t>I</m:t>
          </m:r>
          <m:r>
            <m:t>=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10Y</m:t>
              </m:r>
            </m:sub>
          </m:sSub>
          <m: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3M</m:t>
              </m:r>
            </m:sub>
          </m:sSub>
        </m:oMath>
      </m:oMathPara>
    </w:p>
    <w:p>
      <w:pPr>
        <w:spacing w:before="200" w:after="40"/>
      </w:pPr>
      <w:r>
        <w:rPr>
          <w:b/>
          <w:sz w:val="22"/>
        </w:rPr>
        <w:t>US_R1 — regime (level override)</w:t>
      </w:r>
    </w:p>
    <w:p>
      <w:pPr>
        <w:spacing w:after="80"/>
      </w:pPr>
      <w:r>
        <w:rPr>
          <w:i/>
          <w:sz w:val="19"/>
        </w:rPr>
        <w:t>Yield-curve regime with inversion override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regime</m:t>
          </m:r>
          <m:d>
            <m:dPr>
              <m:begChr m:val="("/>
              <m:endChr m:val=")"/>
            </m:dPr>
            <m:e>
              <m:sSub>
                <m:e>
                  <m:r>
                    <m:t>I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 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e>
          </m:d>
          <m:r>
            <m:t>=</m:t>
          </m:r>
          <m:d>
            <m:dPr>
              <m:begChr m:val="{"/>
              <m:endChr m:val=""/>
            </m:dPr>
            <m:e>
              <m:eqArr>
                <m:eqArrPr>
                  <m:baseJc m:val="center"/>
                </m:eqArrPr>
                <m:e>
                  <m:r>
                    <m:rPr>
                      <m:sty m:val="p"/>
                    </m:rPr>
                    <m:t>recession-watch</m:t>
                  </m:r>
                  <m:r>
                    <m:rPr>
                      <m:sty m:val="p"/>
                    </m:rPr>
                    <m:t>,   if I_t &lt; 0</m:t>
                  </m:r>
                </m:e>
                <m:e>
                  <m:r>
                    <m:rPr>
                      <m:sty m:val="p"/>
                    </m:rPr>
                    <m:t>early-cycle</m:t>
                  </m:r>
                  <m:r>
                    <m:rPr>
                      <m:sty m:val="p"/>
                    </m:rPr>
                    <m:t>,       if I_t &gt; 0   ∧   z_t &gt; +1</m:t>
                  </m:r>
                </m:e>
                <m:e>
                  <m:r>
                    <m:rPr>
                      <m:sty m:val="p"/>
                    </m:rPr>
                    <m:t>mid-cycle</m:t>
                  </m:r>
                  <m:r>
                    <m:rPr>
                      <m:sty m:val="p"/>
                    </m:rPr>
                    <m:t>,         if I_t &gt; 0   ∧   |z_t| ≤ 1</m:t>
                  </m:r>
                </m:e>
                <m:e>
                  <m:r>
                    <m:rPr>
                      <m:sty m:val="p"/>
                    </m:rPr>
                    <m:t>late-cycle</m:t>
                  </m:r>
                  <m:r>
                    <m:rPr>
                      <m:sty m:val="p"/>
                    </m:rPr>
                    <m:t>,        if I_t &gt; 0   ∧   z_t &lt; −1</m:t>
                  </m:r>
                </m:e>
              </m:eqAr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US_Cr2 — 5-regime classifier</w:t>
      </w:r>
    </w:p>
    <w:p>
      <w:pPr>
        <w:spacing w:after="80"/>
      </w:pPr>
      <w:r>
        <w:rPr>
          <w:i/>
          <w:sz w:val="19"/>
        </w:rPr>
        <w:t>HY credit spread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regime</m:t>
          </m:r>
          <m:r>
            <m:t>=</m:t>
          </m:r>
          <m:d>
            <m:dPr>
              <m:begChr m:val="{"/>
              <m:endChr m:val=""/>
            </m:dPr>
            <m:e>
              <m:eqArr>
                <m:eqArrPr>
                  <m:baseJc m:val="center"/>
                </m:eqArrPr>
                <m:e>
                  <m:r>
                    <m:rPr>
                      <m:sty m:val="p"/>
                    </m:rPr>
                    <m:t>opportunity</m:t>
                  </m:r>
                  <m:r>
                    <m:rPr>
                      <m:sty m:val="p"/>
                    </m:rPr>
                    <m:t>,   if HY_OAS &gt; 800   ∨   z &gt; +2</m:t>
                  </m:r>
                </m:e>
                <m:e>
                  <m:r>
                    <m:rPr>
                      <m:sty m:val="p"/>
                    </m:rPr>
                    <m:t>stress</m:t>
                  </m:r>
                  <m:r>
                    <m:rPr>
                      <m:sty m:val="p"/>
                    </m:rPr>
                    <m:t>,            if HY_OAS &gt; 500   ∧   z &gt; +1</m:t>
                  </m:r>
                </m:e>
                <m:e>
                  <m:r>
                    <m:rPr>
                      <m:sty m:val="p"/>
                    </m:rPr>
                    <m:t>normal</m:t>
                  </m:r>
                  <m:r>
                    <m:rPr>
                      <m:sty m:val="p"/>
                    </m:rPr>
                    <m:t>,          if 400 ≤ HY_OAS ≤ 600   ∧   |z| &lt; 1</m:t>
                  </m:r>
                </m:e>
                <m:e>
                  <m:r>
                    <m:rPr>
                      <m:sty m:val="p"/>
                    </m:rPr>
                    <m:t>complacent</m:t>
                  </m:r>
                  <m:r>
                    <m:rPr>
                      <m:sty m:val="p"/>
                    </m:rPr>
                    <m:t>,   if HY_OAS &lt; 400   ∧   z &lt; −0.5</m:t>
                  </m:r>
                </m:e>
                <m:e>
                  <m:r>
                    <m:rPr>
                      <m:sty m:val="p"/>
                    </m:rPr>
                    <m:t>frothy</m:t>
                  </m:r>
                  <m:r>
                    <m:rPr>
                      <m:sty m:val="p"/>
                    </m:rPr>
                    <m:t>,            if HY_OAS &lt; 300   ∧   z &lt; −1</m:t>
                  </m:r>
                </m:e>
              </m:eqAr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US_V1 — VIX3M − VIX</w:t>
      </w:r>
    </w:p>
    <w:p>
      <w:pPr>
        <w:spacing w:after="80"/>
      </w:pPr>
      <w:r>
        <w:rPr>
          <w:i/>
          <w:sz w:val="19"/>
        </w:rPr>
        <w:t>Volatility term structure</w:t>
      </w:r>
    </w:p>
    <w:p>
      <w:pPr>
        <w:spacing w:before="40" w:after="160"/>
        <w:jc w:val="center"/>
      </w:pPr>
      <m:oMathPara>
        <m:oMath>
          <m:r>
            <m:t>I</m:t>
          </m:r>
          <m:r>
            <m:t>=</m:t>
          </m:r>
          <m:r>
            <m:rPr>
              <m:sty m:val="p"/>
            </m:rPr>
            <m:t>VIX3M</m:t>
          </m:r>
          <m:r>
            <m:t>−</m:t>
          </m:r>
          <m:r>
            <m:rPr>
              <m:sty m:val="p"/>
            </m:rPr>
            <m:t>VIX</m:t>
          </m:r>
        </m:oMath>
      </m:oMathPara>
    </w:p>
    <w:p>
      <w:pPr>
        <w:spacing w:before="200" w:after="40"/>
      </w:pPr>
      <w:r>
        <w:rPr>
          <w:b/>
          <w:sz w:val="22"/>
        </w:rPr>
        <w:t>FX_CMD1 — log(copper / gold)</w:t>
      </w:r>
    </w:p>
    <w:p>
      <w:pPr>
        <w:spacing w:after="80"/>
      </w:pPr>
      <w:r>
        <w:rPr>
          <w:i/>
          <w:sz w:val="19"/>
        </w:rPr>
        <w:t>Cross-asset growth proxy</w:t>
      </w:r>
    </w:p>
    <w:p>
      <w:pPr>
        <w:spacing w:before="40" w:after="160"/>
        <w:jc w:val="center"/>
      </w:pPr>
      <m:oMathPara>
        <m:oMath>
          <m:r>
            <m:t>I</m:t>
          </m:r>
          <m:r>
            <m:t>=</m:t>
          </m:r>
          <m:func>
            <m:fName>
              <m:r>
                <m:rPr>
                  <m:sty m:val="p"/>
                </m:rPr>
                <m:t>log</m:t>
              </m:r>
            </m:fName>
            <m:e>
              <m:f>
                <m:num>
                  <m:r>
                    <m:rPr>
                      <m:sty m:val="p"/>
                    </m:rPr>
                    <m:t>copper</m:t>
                  </m:r>
                </m:num>
                <m:den>
                  <m:r>
                    <m:rPr>
                      <m:sty m:val="p"/>
                    </m:rPr>
                    <m:t>gold</m:t>
                  </m:r>
                </m:den>
              </m:f>
            </m:e>
          </m:func>
        </m:oMath>
      </m:oMathPara>
    </w:p>
    <w:p>
      <w:pPr>
        <w:spacing w:before="200" w:after="40"/>
      </w:pPr>
      <w:r>
        <w:rPr>
          <w:b/>
          <w:sz w:val="22"/>
        </w:rPr>
        <w:t>GL_PMI1 — equal-weight PMI z-mean</w:t>
      </w:r>
    </w:p>
    <w:p>
      <w:pPr>
        <w:spacing w:after="80"/>
      </w:pPr>
      <w:r>
        <w:rPr>
          <w:i/>
          <w:sz w:val="19"/>
        </w:rPr>
        <w:t>Survey-derived composite</w:t>
      </w:r>
    </w:p>
    <w:p>
      <w:pPr>
        <w:spacing w:before="40" w:after="160"/>
        <w:jc w:val="center"/>
      </w:pPr>
      <m:oMathPara>
        <m:oMath>
          <m:r>
            <m:t>I</m:t>
          </m:r>
          <m:r>
            <m:t>=</m:t>
          </m:r>
          <m:f>
            <m:num>
              <m:r>
                <m:rPr>
                  <m:sty m:val="p"/>
                </m:rP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</m:naryPr>
            <m:sub>
              <m:r>
                <m:rPr>
                  <m:sty m:val="p"/>
                </m:rPr>
                <m:t>i=1</m:t>
              </m:r>
            </m:sub>
            <m:sup>
              <m:r>
                <m:t>n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spacing w:before="200" w:after="40"/>
      </w:pPr>
      <w:r>
        <w:rPr>
          <w:b/>
          <w:sz w:val="22"/>
        </w:rPr>
        <w:t>Staleness age</w:t>
      </w:r>
    </w:p>
    <w:p>
      <w:pPr>
        <w:spacing w:after="80"/>
      </w:pPr>
      <w:r>
        <w:rPr>
          <w:i/>
          <w:sz w:val="19"/>
        </w:rPr>
        <w:t>Audit Section C metric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age</m:t>
          </m:r>
          <m:d>
            <m:dPr>
              <m:begChr m:val="("/>
              <m:endChr m:val=")"/>
            </m:dPr>
            <m:e>
              <m:r>
                <m:t>s</m:t>
              </m:r>
            </m:e>
          </m:d>
          <m: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now</m:t>
              </m:r>
            </m:sub>
          </m:sSub>
          <m:r>
            <m:t>−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change</m:t>
              </m:r>
            </m:sub>
          </m:sSub>
          <m:d>
            <m:dPr>
              <m:begChr m:val="("/>
              <m:endChr m:val=")"/>
            </m:dPr>
            <m:e>
              <m:r>
                <m:t>s</m:t>
              </m:r>
            </m:e>
          </m:d>
        </m:oMath>
      </m:oMathPara>
    </w:p>
    <w:p>
      <w:pPr>
        <w:spacing w:before="200" w:after="40"/>
      </w:pPr>
      <w:r>
        <w:rPr>
          <w:b/>
          <w:sz w:val="22"/>
        </w:rPr>
        <w:t>Staleness band classification</w:t>
      </w:r>
    </w:p>
    <w:p>
      <w:pPr>
        <w:spacing w:after="80"/>
      </w:pPr>
      <w:r>
        <w:rPr>
          <w:i/>
          <w:sz w:val="19"/>
        </w:rPr>
        <w:t>FRESH / STALE / EXPIRED thresholds</w:t>
      </w:r>
    </w:p>
    <w:p>
      <w:pPr>
        <w:spacing w:before="40" w:after="160"/>
        <w:jc w:val="center"/>
      </w:pPr>
      <m:oMathPara>
        <m:oMath>
          <m:r>
            <m:rPr>
              <m:sty m:val="p"/>
            </m:rPr>
            <m:t>classify</m:t>
          </m:r>
          <m:d>
            <m:dPr>
              <m:begChr m:val="("/>
              <m:endChr m:val=")"/>
            </m:dPr>
            <m:e>
              <m:r>
                <m:rPr>
                  <m:sty m:val="p"/>
                </m:rPr>
                <m:t>age</m:t>
              </m:r>
            </m:e>
          </m:d>
          <m:r>
            <m:t>=</m:t>
          </m:r>
          <m:d>
            <m:dPr>
              <m:begChr m:val="{"/>
              <m:endChr m:val=""/>
            </m:dPr>
            <m:e>
              <m:eqArr>
                <m:eqArrPr>
                  <m:baseJc m:val="center"/>
                </m:eqArrPr>
                <m:e>
                  <m:r>
                    <m:rPr>
                      <m:sty m:val="p"/>
                    </m:rPr>
                    <m:t>FRESH</m:t>
                  </m:r>
                  <m:r>
                    <m:rPr>
                      <m:sty m:val="p"/>
                    </m:rPr>
                    <m:t>,         if age ≤ T</m:t>
                  </m:r>
                </m:e>
                <m:e>
                  <m:r>
                    <m:rPr>
                      <m:sty m:val="p"/>
                    </m:rPr>
                    <m:t>STALE</m:t>
                  </m:r>
                  <m:r>
                    <m:rPr>
                      <m:sty m:val="p"/>
                    </m:rPr>
                    <m:t>,         if T &lt; age ≤ 2T</m:t>
                  </m:r>
                </m:e>
                <m:e>
                  <m:r>
                    <m:rPr>
                      <m:sty m:val="p"/>
                    </m:rPr>
                    <m:t>EXPIRED</m:t>
                  </m:r>
                  <m:r>
                    <m:rPr>
                      <m:sty m:val="p"/>
                    </m:rPr>
                    <m:t>,   if age &gt; 2T</m:t>
                  </m:r>
                </m:e>
              </m:eqArr>
            </m:e>
          </m:d>
        </m:oMath>
      </m:oMathPara>
    </w:p>
    <w:p/>
    <w:p>
      <w:r>
        <w:t>Acceptance for Step 2: every equation above renders cleanly in Word and is editable via the equation editor. Any equation requiring typography adjustment to be flagged before Step 3 begins.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