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4"/>
          <w:szCs w:val="24"/>
        </w:rPr>
        <w:t xml:space="preserve"/>
      </w:r>
    </w:p>
    <w:p>
      <w:pPr>
        <w:spacing w:after="240"/>
        <w:jc w:val="center"/>
      </w:pPr>
      <w:r>
        <w:rPr>
          <w:b/>
          <w:bCs/>
          <w:color w:val="1F3A5F"/>
          <w:sz w:val="48"/>
          <w:szCs w:val="48"/>
        </w:rPr>
        <w:t xml:space="preserve">MACRO &amp; MARKET INDICATOR REFERENCE</w:t>
      </w:r>
    </w:p>
    <w:p>
      <w:pPr>
        <w:spacing w:after="600"/>
        <w:jc w:val="center"/>
      </w:pPr>
      <w:r>
        <w:rPr>
          <w:color w:val="404040"/>
          <w:sz w:val="32"/>
          <w:szCs w:val="32"/>
        </w:rPr>
        <w:t xml:space="preserve">Leading, Coincident and Lagging Indicators by Region</w:t>
      </w:r>
    </w:p>
    <w:p>
      <w:pPr>
        <w:spacing w:after="1200"/>
        <w:jc w:val="center"/>
      </w:pPr>
      <w:r>
        <w:rPr>
          <w:i/>
          <w:iCs/>
          <w:color w:val="606060"/>
          <w:sz w:val="26"/>
          <w:szCs w:val="26"/>
        </w:rPr>
        <w:t xml:space="preserve">US · UK · Eurozone · Japan · China · Global</w:t>
      </w:r>
    </w:p>
    <w:p>
      <w:pPr>
        <w:spacing w:after="120"/>
        <w:jc w:val="center"/>
      </w:pPr>
      <w:r>
        <w:rPr>
          <w:i/>
          <w:iCs/>
          <w:color w:val="606060"/>
          <w:sz w:val="22"/>
          <w:szCs w:val="22"/>
        </w:rPr>
        <w:t xml:space="preserve">Compiled for review — asset allocation and equity strategy framework</w:t>
      </w:r>
    </w:p>
    <w:p>
      <w:pPr>
        <w:jc w:val="center"/>
      </w:pPr>
      <w:r>
        <w:rPr>
          <w:color w:val="606060"/>
          <w:sz w:val="22"/>
          <w:szCs w:val="22"/>
        </w:rPr>
        <w:t xml:space="preserve">April 2026</w:t>
      </w:r>
    </w:p>
    <w:p>
      <w:pPr>
        <w:pStyle w:val="Heading1"/>
        <w:spacing w:after="180" w:before="360"/>
      </w:pPr>
      <w:r>
        <w:t xml:space="preserve">How to use this document</w:t>
      </w:r>
    </w:p>
    <w:p>
      <w:pPr>
        <w:spacing w:after="120"/>
      </w:pPr>
      <w:r>
        <w:rPr>
          <w:sz w:val="20"/>
          <w:szCs w:val="20"/>
        </w:rPr>
        <w:t xml:space="preserve">This document aggregates the macro and market variables most commonly used by asset allocators and equity strategists across six major regions: United States, United Kingdom, Eurozone, Japan, China, and a cross-region / Global section. For each region the list targets 25-35 indicators spanning business surveys, financial-market variables, labour-market data, monetary and credit aggregates, and real-economy output and price series.</w:t>
      </w:r>
    </w:p>
    <w:p>
      <w:pPr>
        <w:spacing w:after="120"/>
      </w:pPr>
      <w:r>
        <w:rPr>
          <w:sz w:val="20"/>
          <w:szCs w:val="20"/>
        </w:rPr>
        <w:t xml:space="preserve">Each indicator is classified as Leading (L), Coincident (C), or Lagging (G) relative to the business cycle. Classifications follow the conventions of the Conference Board, OECD, and major sell-side research frameworks. Some indicators are borderline (e.g. euro-area unemployment sits between coincident and lagging); these reflect empirical rather than doctrinal categorisation.</w:t>
      </w:r>
    </w:p>
    <w:p>
      <w:pPr>
        <w:spacing w:after="120"/>
      </w:pPr>
      <w:r>
        <w:rPr>
          <w:sz w:val="20"/>
          <w:szCs w:val="20"/>
        </w:rPr>
        <w:t xml:space="preserve">Leading indicators typically turn 3–12 months ahead of activity and are the primary focus for tactical positioning. Coincident indicators confirm the current state of the cycle and define official recession dating. Lagging indicators confirm trends already in place and are most relevant for policy and inflation analysis.</w:t>
      </w:r>
    </w:p>
    <w:p>
      <w:pPr>
        <w:pStyle w:val="Heading3"/>
        <w:spacing w:after="80" w:before="180"/>
      </w:pPr>
      <w:r>
        <w:t xml:space="preserve">Suggested build priority</w:t>
      </w:r>
    </w:p>
    <w:p>
      <w:pPr>
        <w:pStyle w:val="ListParagraph"/>
        <w:numPr>
          <w:ilvl w:val="0"/>
          <w:numId w:val="2"/>
        </w:numPr>
        <w:spacing w:after="80"/>
      </w:pPr>
      <w:r>
        <w:rPr>
          <w:sz w:val="20"/>
          <w:szCs w:val="20"/>
        </w:rPr>
        <w:t xml:space="preserve">Start with the five composite frameworks (Conference Board LEI, OECD CLI, CFNAI, ESI, Tankan) — these do the aggregation work for you.</w:t>
      </w:r>
    </w:p>
    <w:p>
      <w:pPr>
        <w:pStyle w:val="ListParagraph"/>
        <w:numPr>
          <w:ilvl w:val="0"/>
          <w:numId w:val="2"/>
        </w:numPr>
        <w:spacing w:after="80"/>
      </w:pPr>
      <w:r>
        <w:rPr>
          <w:sz w:val="20"/>
          <w:szCs w:val="20"/>
        </w:rPr>
        <w:t xml:space="preserve">Layer in the highest-signal single variables: yield curves, HY credit spreads, PMIs (new orders), initial claims / payrolls, and sentiment indices.</w:t>
      </w:r>
    </w:p>
    <w:p>
      <w:pPr>
        <w:pStyle w:val="ListParagraph"/>
        <w:numPr>
          <w:ilvl w:val="0"/>
          <w:numId w:val="2"/>
        </w:numPr>
        <w:spacing w:after="80"/>
      </w:pPr>
      <w:r>
        <w:rPr>
          <w:sz w:val="20"/>
          <w:szCs w:val="20"/>
        </w:rPr>
        <w:t xml:space="preserve">Add region-specific idiosyncratic series: China credit impulse, Japan machinery orders, UK RICS balance, German ifo, US SLOOS.</w:t>
      </w:r>
    </w:p>
    <w:p>
      <w:pPr>
        <w:pStyle w:val="ListParagraph"/>
        <w:numPr>
          <w:ilvl w:val="0"/>
          <w:numId w:val="2"/>
        </w:numPr>
        <w:spacing w:after="80"/>
      </w:pPr>
      <w:r>
        <w:rPr>
          <w:sz w:val="20"/>
          <w:szCs w:val="20"/>
        </w:rPr>
        <w:t xml:space="preserve">Track lagging indicators (CPI, unemployment, wages) mainly to calibrate policy risk rather than cycle risk.</w:t>
      </w:r>
    </w:p>
    <w:p>
      <w:pPr>
        <w:pStyle w:val="Heading3"/>
        <w:spacing w:after="80" w:before="180"/>
      </w:pPr>
      <w:r>
        <w:t xml:space="preserve">A note on frequencies and revisions</w:t>
      </w:r>
    </w:p>
    <w:p>
      <w:pPr>
        <w:spacing w:after="120"/>
      </w:pPr>
      <w:r>
        <w:rPr>
          <w:sz w:val="20"/>
          <w:szCs w:val="20"/>
        </w:rPr>
        <w:t xml:space="preserve">High-frequency indicators (weekly claims, daily spreads and equity prices) dominate short-term monitoring. Monthly surveys and hard data define the tactical window. Quarterly series (Tankan, SLOOS, BLS productivity) are strategic. Be cautious of first-release hard data — PCE, retail sales, payrolls and UK LFS are all prone to meaningful revisions that can flip signals ex post.</w:t>
      </w:r>
    </w:p>
    <w:p>
      <w:pPr>
        <w:pStyle w:val="Heading3"/>
        <w:spacing w:after="80" w:before="180"/>
      </w:pPr>
      <w:r>
        <w:t xml:space="preserve">Cross-region toolkit</w:t>
      </w:r>
    </w:p>
    <w:p>
      <w:pPr>
        <w:spacing w:after="120"/>
      </w:pPr>
      <w:r>
        <w:rPr>
          <w:sz w:val="20"/>
          <w:szCs w:val="20"/>
        </w:rPr>
        <w:t xml:space="preserve">The Global section at the end lists cross-region aggregates (J.P. Morgan Global PMI, OECD CLI, CPB World Trade Monitor, BDI, DXY, global HY OAS, financial conditions indices). These are efficient for top-of-funnel cycle reads before drilling into individual regions.</w:t>
      </w:r>
    </w:p>
    <w:p>
      <w:pPr>
        <w:sectPr>
          <w:pgSz w:w="12240" w:h="15840" w:orient="portrait"/>
          <w:pgMar w:top="1440" w:right="1440" w:bottom="1440" w:left="1440" w:header="708" w:footer="708" w:gutter="0"/>
          <w:pgNumType/>
          <w:docGrid w:linePitch="360"/>
        </w:sectPr>
      </w:pPr>
    </w:p>
    <w:p>
      <w:pPr>
        <w:pStyle w:val="Heading1"/>
        <w:spacing w:after="180" w:before="360"/>
      </w:pPr>
      <w:r>
        <w:t xml:space="preserve">1. UNITED STATES</w:t>
      </w:r>
    </w:p>
    <w:p>
      <w:pPr>
        <w:spacing w:after="180"/>
      </w:pPr>
      <w:r>
        <w:rPr>
          <w:i/>
          <w:iCs/>
          <w:color w:val="404040"/>
          <w:sz w:val="20"/>
          <w:szCs w:val="20"/>
        </w:rPr>
        <w:t xml:space="preserve">Deepest and most instrumented market; indicators below closely track Conference Board LEI / CEI / LAG frameworks plus financial-market and regional Fed additions. Yield curve and HY spreads are the single most-watched leading signals.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gridCol w:w="3240"/>
      </w:tblGrid>
      <w:tr>
        <w:tc>
          <w:tcPr>
            <w:tcW w:type="dxa" w:w="324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bCs/>
                <w:i w:val="false"/>
                <w:iCs w:val="false"/>
                <w:sz w:val="18"/>
                <w:szCs w:val="18"/>
              </w:rPr>
              <w:t xml:space="preserve">LEADING (L)</w:t>
            </w:r>
          </w:p>
        </w:tc>
        <w:tc>
          <w:tcPr>
            <w:tcW w:type="dxa" w:w="324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bCs/>
                <w:i w:val="false"/>
                <w:iCs w:val="false"/>
                <w:sz w:val="18"/>
                <w:szCs w:val="18"/>
              </w:rPr>
              <w:t xml:space="preserve">COINCIDENT (C)</w:t>
            </w:r>
          </w:p>
        </w:tc>
        <w:tc>
          <w:tcPr>
            <w:tcW w:type="dxa" w:w="324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bCs/>
                <w:i w:val="false"/>
                <w:iCs w:val="false"/>
                <w:sz w:val="18"/>
                <w:szCs w:val="18"/>
              </w:rPr>
              <w:t xml:space="preserve">LAGGING (G)</w:t>
            </w:r>
          </w:p>
        </w:tc>
        <w:tc>
          <w:tcPr>
            <w:tcW w:type="dxa" w:w="32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iCs/>
                <w:sz w:val="16"/>
                <w:szCs w:val="16"/>
              </w:rPr>
              <w:t xml:space="preserve">Tends to turn 3–12m ahead of cycle</w:t>
            </w:r>
          </w:p>
        </w:tc>
      </w:tr>
    </w:tbl>
    <w:p>
      <w:pPr>
        <w:spacing w:after="80"/>
      </w:pPr>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3200"/>
        <w:gridCol w:w="4560"/>
      </w:tblGrid>
      <w:tr>
        <w:trPr>
          <w:tblHeader/>
        </w:trPr>
        <w:tc>
          <w:tcPr>
            <w:tcW w:type="dxa" w:w="70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color w:val="FFFFFF"/>
                <w:sz w:val="20"/>
                <w:szCs w:val="20"/>
              </w:rPr>
              <w:t xml:space="preserve">#</w:t>
            </w:r>
          </w:p>
        </w:tc>
        <w:tc>
          <w:tcPr>
            <w:tcW w:type="dxa" w:w="450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color w:val="FFFFFF"/>
                <w:sz w:val="20"/>
                <w:szCs w:val="20"/>
              </w:rPr>
              <w:t xml:space="preserve">Indicator</w:t>
            </w:r>
          </w:p>
        </w:tc>
        <w:tc>
          <w:tcPr>
            <w:tcW w:type="dxa" w:w="320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color w:val="FFFFFF"/>
                <w:sz w:val="20"/>
                <w:szCs w:val="20"/>
              </w:rPr>
              <w:t xml:space="preserve">Category / Source</w:t>
            </w:r>
          </w:p>
        </w:tc>
        <w:tc>
          <w:tcPr>
            <w:tcW w:type="dxa" w:w="456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color w:val="FFFFFF"/>
                <w:sz w:val="20"/>
                <w:szCs w:val="20"/>
              </w:rPr>
              <w:t xml:space="preserve">Notes / Why it matters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ISM Manufacturing PMI (New Orders sub-index)</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ISM</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New orders is the most forward-looking PMI component; leads industrial production by 3–6 months.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2</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ISM Services PMI (Business Activity)</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ISM</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Services dominate US GDP (~70%); new orders and employment sub-indices particularly watched.</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3</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S&amp;P Global Flash Composite PMI</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S&amp;P Global</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Released mid-month ahead of official data; captures both manufacturing and services.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4</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Conference Board LEI (composite)</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Composite / Conference Board</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10-component index; 3D rule (diffusion + 6m growth) flags recessions.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5</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Average Weekly Hours, Manufacturing</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Labour / BLS</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Hours are cut before headcount; LEI component.</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6</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Initial Jobless Claims (weekly)</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Labour / DOL</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Highest-frequency labour signal; 4-week moving average preferred.</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7</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Building Permits (new private housing)</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Housing / Census</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Permits lead starts; interest-rate sensitive and cycle-leading.</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8</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Yield Curve: 10Y–3M Treasury Spread</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Rates / Fed</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NY Fed's preferred recession model variable; inversion has preceded every recession since 1960.</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9</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Yield Curve: 10Y–2Y Treasury Spread</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Rates / Fed</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Market-standard curve measure; complements 10Y-3M.</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10</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High-Yield Credit Spread (ICE BofA HY OAS)</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Credit / ICE BofA</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Leads equity peaks by 2–8 weeks; combined with inverted curve = strong recession signal.</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11</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Investment Grade Credit Spread (ICE BofA IG OAS)</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Credit / ICE BofA</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Cleaner signal of funding conditions for quality issuers.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12</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S&amp;P 500 Index</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Equities / S&amp;P</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Classic leading indicator; discounts ~6 months ahead.</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13</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Conference Board Leading Credit Index</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Credit / Conference Board</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Composite: swap spreads, LIBOR-TBill, margin debit, AAII sentiment, SLOOS tightening, buybacks.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14</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Senior Loan Officer Opinion Survey (SLOOS)</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Credit / Fed</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Net % of banks tightening C&amp;I / CRE / household credit standards; leads defaults.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15</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Michigan Consumer Sentiment – Expectations</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Consumer / U.Michigan</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Forward-looking sub-index; feeds the Conference Board LEI.</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16</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NFIB Small Business Optimism Index</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NFIB</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Small-cap proxy; hiring plans, capex plans, earnings sub-indices predictive.</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17</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Philadelphia Fed Manufacturing Index</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Regional Fed survey</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Released before ISM; regional Fed surveys aggregate into a useful early read.</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18</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Empire State Manufacturing Index (NY Fed)</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Regional Fed survey</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First major regional survey of the month.</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19</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Manufacturers' New Orders – Non-Defence Capital Goods ex-Air</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Orders / Census</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Proxy for business capex intentions; LEI component.</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20</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M2 Money Supply (real, YoY)</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Monetary / Fed</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Real money growth historically correlates with future nominal demand.</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21</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Non-Farm Payrolls</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Labour / BLS</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Most watched CEI component; defines NBER business-cycle dates.</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22</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Industrial Production Index</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Output / Fed G.17</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Physical output measure; CEI component.</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23</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Capacity Utilization</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Output / Fed G.17</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Signals inflation pressure when elevated; cycle-coincident.</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24</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Real Personal Income less Transfers</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Income / BEA</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Private-sector income generating capacity; CEI component.</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25</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Retail Sales (Control Group)</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Consumer / Census</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Feeds directly into GDP consumption estimate.</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26</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Real Personal Consumption Expenditures</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Consumer / BEA</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~68% of GDP; tracks business cycle closely.</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27</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Manufacturing &amp; Trade Sales</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Output / Census</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CEI component covering wholesale + retail + manufacturing.</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28</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Chicago Fed National Activity Index (CFNAI)</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Composite / Chicago Fed</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Weighted average of 85 monthly indicators; 3-month MA &lt;-0.7 signals recession.</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29</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GDPNow / Nowcasts (Atlanta &amp; NY Fed)</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Composite / Fed</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Real-time GDP tracker updated with each data release.</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30</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Unemployment Rate</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Labour / BLS</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Peaks several months after recessions end; Sahm Rule (0.5pp rise in 3m MA) flags recession.</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31</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Core CPI (YoY)</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Prices / BLS</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Inflation lags cycle by 2–4 quarters; guides Fed policy.</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32</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Core PCE Deflator</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Prices / BEA</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Fed's preferred inflation gauge; lagging indicator.</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33</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Unit Labour Costs</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Labour / BLS</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Wage inflation measure; turns after cycle.</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34</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Average Duration of Unemployment</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Labour / BLS</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LAG component; extends well into recoveries.</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35</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Commercial &amp; Industrial Loans Outstanding</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Credit / Fed H.8</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Bank lending volumes lag new-order signals.</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36</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Fed Funds Rate</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Rates / Fed</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Reacts with lag to activity and inflation data.</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37</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Corporate Profits (economy-wide, NIPA)</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Earnings / BEA</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Confirms cycle turns; lagging for index construction though forward-looking for equities.</w:t>
            </w:r>
          </w:p>
        </w:tc>
      </w:tr>
    </w:tbl>
    <w:p>
      <w:pPr>
        <w:pageBreakBefore/>
      </w:pPr>
      <w:r>
        <w:t xml:space="preserve"/>
      </w:r>
    </w:p>
    <w:p>
      <w:pPr>
        <w:pStyle w:val="Heading1"/>
        <w:spacing w:after="180" w:before="360"/>
      </w:pPr>
      <w:r>
        <w:t xml:space="preserve">2. UNITED KINGDOM</w:t>
      </w:r>
    </w:p>
    <w:p>
      <w:pPr>
        <w:spacing w:after="180"/>
      </w:pPr>
      <w:r>
        <w:rPr>
          <w:i/>
          <w:iCs/>
          <w:color w:val="404040"/>
          <w:sz w:val="20"/>
          <w:szCs w:val="20"/>
        </w:rPr>
        <w:t xml:space="preserve">UK is services-heavy (~80% of GDP) and financial-services-concentrated. PMI composite, CBI surveys, GfK consumer confidence, and BoE Agents' report are the core domestic leading suite. FTSE 250 is a better UK cycle read than FTSE 100.</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gridCol w:w="3240"/>
      </w:tblGrid>
      <w:tr>
        <w:tc>
          <w:tcPr>
            <w:tcW w:type="dxa" w:w="324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bCs/>
                <w:i w:val="false"/>
                <w:iCs w:val="false"/>
                <w:sz w:val="18"/>
                <w:szCs w:val="18"/>
              </w:rPr>
              <w:t xml:space="preserve">LEADING (L)</w:t>
            </w:r>
          </w:p>
        </w:tc>
        <w:tc>
          <w:tcPr>
            <w:tcW w:type="dxa" w:w="324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bCs/>
                <w:i w:val="false"/>
                <w:iCs w:val="false"/>
                <w:sz w:val="18"/>
                <w:szCs w:val="18"/>
              </w:rPr>
              <w:t xml:space="preserve">COINCIDENT (C)</w:t>
            </w:r>
          </w:p>
        </w:tc>
        <w:tc>
          <w:tcPr>
            <w:tcW w:type="dxa" w:w="324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bCs/>
                <w:i w:val="false"/>
                <w:iCs w:val="false"/>
                <w:sz w:val="18"/>
                <w:szCs w:val="18"/>
              </w:rPr>
              <w:t xml:space="preserve">LAGGING (G)</w:t>
            </w:r>
          </w:p>
        </w:tc>
        <w:tc>
          <w:tcPr>
            <w:tcW w:type="dxa" w:w="32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iCs/>
                <w:sz w:val="16"/>
                <w:szCs w:val="16"/>
              </w:rPr>
              <w:t xml:space="preserve">Tends to turn 3–12m ahead of cycle</w:t>
            </w:r>
          </w:p>
        </w:tc>
      </w:tr>
    </w:tbl>
    <w:p>
      <w:pPr>
        <w:spacing w:after="80"/>
      </w:pPr>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3200"/>
        <w:gridCol w:w="4560"/>
      </w:tblGrid>
      <w:tr>
        <w:trPr>
          <w:tblHeader/>
        </w:trPr>
        <w:tc>
          <w:tcPr>
            <w:tcW w:type="dxa" w:w="70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color w:val="FFFFFF"/>
                <w:sz w:val="20"/>
                <w:szCs w:val="20"/>
              </w:rPr>
              <w:t xml:space="preserve">#</w:t>
            </w:r>
          </w:p>
        </w:tc>
        <w:tc>
          <w:tcPr>
            <w:tcW w:type="dxa" w:w="450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color w:val="FFFFFF"/>
                <w:sz w:val="20"/>
                <w:szCs w:val="20"/>
              </w:rPr>
              <w:t xml:space="preserve">Indicator</w:t>
            </w:r>
          </w:p>
        </w:tc>
        <w:tc>
          <w:tcPr>
            <w:tcW w:type="dxa" w:w="320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color w:val="FFFFFF"/>
                <w:sz w:val="20"/>
                <w:szCs w:val="20"/>
              </w:rPr>
              <w:t xml:space="preserve">Category / Source</w:t>
            </w:r>
          </w:p>
        </w:tc>
        <w:tc>
          <w:tcPr>
            <w:tcW w:type="dxa" w:w="456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color w:val="FFFFFF"/>
                <w:sz w:val="20"/>
                <w:szCs w:val="20"/>
              </w:rPr>
              <w:t xml:space="preserve">Notes / Why it matters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S&amp;P Global UK Manufacturing PMI</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S&amp;P Global</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Weighted composite of 5 sub-indices; new orders weighted 30%.</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2</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S&amp;P Global UK Services PMI</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S&amp;P Global</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Services ~80% of UK GDP; output, new orders, employment sub-indices.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3</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S&amp;P Global UK Composite PMI (Flash)</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S&amp;P Global</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Flash release mid-month; broadly consistent with GDP quarterly growth.</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4</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S&amp;P Global UK Construction PMI</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S&amp;P Global</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Residential, commercial, civil engineering sub-indices.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5</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CBI Industrial Trends Survey</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CBI</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Monthly balance of manufacturers' expectations for output over next 3 months.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6</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CBI Financial Services Survey</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CBI</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Quarterly; banks, insurers, fund managers — useful given UK financial-services weighting.</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7</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GfK Consumer Confidence Index</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Consumer / GfK-NIM</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Since 1974; leading indicator of retail sales and household consumption.</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8</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Bank of England Agents' Summary of Business Conditions</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BoE</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Qualitative regional intelligence published alongside MPC meetings.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9</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BoE Credit Conditions Survey</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Credit / BoE</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Quarterly net balance of lender tightening; leads loan growth.</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10</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Lloyds Business Barometer</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Lloyds</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Monthly; trading prospects and economic optimism components.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11</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FTSE 100 &amp; FTSE 250</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Equities / LSE</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FTSE 250 more domestic and a better UK cycle bellwether than FTSE 100.</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12</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UK Gilt Yield Curve (10Y–2Y)</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Rates / BoE</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Less predictive than US curve but a useful monetary-stance gauge.</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13</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Sterling iTraxx Crossover (sub-IG CDS)</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Credit / Markit</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European HY credit spread proxy; UK issuers included.</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14</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Mortgage Approvals (for house purchase)</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Housing / BoE</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Leads housing-transaction volumes by 1–2 months.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15</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RICS Housing Market Survey (price balance)</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Housing / RICS</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Forward-looking balance of surveyors reporting price rises vs falls.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16</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Halifax / Nationwide House Price Indices</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Housing / Halifax, Nationwide</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Monthly lender-based price series; leading for consumer wealth effect.</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17</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Index of Services (monthly)</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Output / ONS</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Monthly services output — faster than quarterly GDP.</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18</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HMRC PAYE Real-Time Payroll Employees</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Labour / HMRC</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Monthly admin-data payroll count; timelier than LFS.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19</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ONS Business Insights and Conditions Survey (BICS)</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ONS</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Bi-weekly; performance expectations over next 12 months.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20</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Money Supply: M4 &amp; M4 Lending (ex IOFCs)</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Monetary / BoE</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Broad money excluding intermediate financial corporations.</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21</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Monthly GDP (rolling 3-month)</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Output / ONS</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ONS monthly GDP estimate — more granular than quarterly.</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22</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Industrial Production Index</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Output / ONS</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Manufacturing + mining + utilities; cycle-coincident.</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23</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Manufacturing Output (IoP sub-component)</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Output / ONS</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Cyclical anchor.</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24</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Retail Sales Volume (inc &amp; ex fuel)</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Consumer / ONS</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Volume-based consumption indicator.</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25</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LFS Employment Level &amp; Employment Rate</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Labour / ONS</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Headline employment from Labour Force Survey (with known reliability caveats currently).</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26</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BRC Retail Sales Monitor</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Consumer / BRC-KPMG</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Monthly LFL retail sales; released ahead of ONS figures.</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27</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New Car Registrations</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Consumer / SMMT</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Big-ticket discretionary spend proxy.</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28</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Workforce Jobs Series</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Labour / ONS</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Employer-survey-based; used alongside LFS.</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29</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Unemployment Rate (ILO, LFS)</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Labour / ONS</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Lagging indicator; turns after output has turned.</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30</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Claimant Count</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Labour / ONS / DWP</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Narrower admin measure of benefit claimants; lags cycle.</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31</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CPI Inflation (headline &amp; core)</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Prices / ONS</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Lags output cycle; CPIH and RPI also tracked.</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32</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Average Weekly Earnings (regular &amp; total pay)</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Labour / ONS</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Wage growth lags labour market tightness.</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33</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Bank Rate (Bank of England)</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Rates / BoE</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MPC decisions react to backward-looking data.</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34</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Household Debt to Disposable Income</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Credit / ONS</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Slow-moving; currently trending lower from 2022 peak.</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35</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Insolvencies (corporate &amp; personal)</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Credit / Insolvency Service</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Bankruptcies peak well after recessions.</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36</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Productivity (output per hour)</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Productivity / ONS</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Quarterly; structural but cycle-sensitive.</w:t>
            </w:r>
          </w:p>
        </w:tc>
      </w:tr>
    </w:tbl>
    <w:p>
      <w:pPr>
        <w:pageBreakBefore/>
      </w:pPr>
      <w:r>
        <w:t xml:space="preserve"/>
      </w:r>
    </w:p>
    <w:p>
      <w:pPr>
        <w:pStyle w:val="Heading1"/>
        <w:spacing w:after="180" w:before="360"/>
      </w:pPr>
      <w:r>
        <w:t xml:space="preserve">3. EUROZONE</w:t>
      </w:r>
    </w:p>
    <w:p>
      <w:pPr>
        <w:spacing w:after="180"/>
      </w:pPr>
      <w:r>
        <w:rPr>
          <w:i/>
          <w:iCs/>
          <w:color w:val="404040"/>
          <w:sz w:val="20"/>
          <w:szCs w:val="20"/>
        </w:rPr>
        <w:t xml:space="preserve">German surveys (ifo, ZEW) punch above their weight as eurozone leading indicators. ECB Bank Lending Survey and M3/credit impulse anchor monetary transmission read. Peripheral spreads are the distinctive eurozone political-risk overlay.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gridCol w:w="3240"/>
      </w:tblGrid>
      <w:tr>
        <w:tc>
          <w:tcPr>
            <w:tcW w:type="dxa" w:w="324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bCs/>
                <w:i w:val="false"/>
                <w:iCs w:val="false"/>
                <w:sz w:val="18"/>
                <w:szCs w:val="18"/>
              </w:rPr>
              <w:t xml:space="preserve">LEADING (L)</w:t>
            </w:r>
          </w:p>
        </w:tc>
        <w:tc>
          <w:tcPr>
            <w:tcW w:type="dxa" w:w="324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bCs/>
                <w:i w:val="false"/>
                <w:iCs w:val="false"/>
                <w:sz w:val="18"/>
                <w:szCs w:val="18"/>
              </w:rPr>
              <w:t xml:space="preserve">COINCIDENT (C)</w:t>
            </w:r>
          </w:p>
        </w:tc>
        <w:tc>
          <w:tcPr>
            <w:tcW w:type="dxa" w:w="324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bCs/>
                <w:i w:val="false"/>
                <w:iCs w:val="false"/>
                <w:sz w:val="18"/>
                <w:szCs w:val="18"/>
              </w:rPr>
              <w:t xml:space="preserve">LAGGING (G)</w:t>
            </w:r>
          </w:p>
        </w:tc>
        <w:tc>
          <w:tcPr>
            <w:tcW w:type="dxa" w:w="32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iCs/>
                <w:sz w:val="16"/>
                <w:szCs w:val="16"/>
              </w:rPr>
              <w:t xml:space="preserve">Tends to turn 3–12m ahead of cycle</w:t>
            </w:r>
          </w:p>
        </w:tc>
      </w:tr>
    </w:tbl>
    <w:p>
      <w:pPr>
        <w:spacing w:after="80"/>
      </w:pPr>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3200"/>
        <w:gridCol w:w="4560"/>
      </w:tblGrid>
      <w:tr>
        <w:trPr>
          <w:tblHeader/>
        </w:trPr>
        <w:tc>
          <w:tcPr>
            <w:tcW w:type="dxa" w:w="70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color w:val="FFFFFF"/>
                <w:sz w:val="20"/>
                <w:szCs w:val="20"/>
              </w:rPr>
              <w:t xml:space="preserve">#</w:t>
            </w:r>
          </w:p>
        </w:tc>
        <w:tc>
          <w:tcPr>
            <w:tcW w:type="dxa" w:w="450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color w:val="FFFFFF"/>
                <w:sz w:val="20"/>
                <w:szCs w:val="20"/>
              </w:rPr>
              <w:t xml:space="preserve">Indicator</w:t>
            </w:r>
          </w:p>
        </w:tc>
        <w:tc>
          <w:tcPr>
            <w:tcW w:type="dxa" w:w="320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color w:val="FFFFFF"/>
                <w:sz w:val="20"/>
                <w:szCs w:val="20"/>
              </w:rPr>
              <w:t xml:space="preserve">Category / Source</w:t>
            </w:r>
          </w:p>
        </w:tc>
        <w:tc>
          <w:tcPr>
            <w:tcW w:type="dxa" w:w="456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color w:val="FFFFFF"/>
                <w:sz w:val="20"/>
                <w:szCs w:val="20"/>
              </w:rPr>
              <w:t xml:space="preserve">Notes / Why it matters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HCOB Eurozone Manufacturing PMI</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S&amp;P Global</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Headline PMI for the bloc's factory sector; new orders closely watched.</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2</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HCOB Eurozone Services PMI</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S&amp;P Global</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Largest component of eurozone output.</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3</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HCOB Eurozone Composite PMI (Flash)</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S&amp;P Global</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Flash release 10 days before month-end.</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4</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ifo Business Climate Index (Germany)</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ifo</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Key German leading indicator; current + expectations components.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5</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ifo Expectations Sub-index</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ifo</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Forward-looking 6m business outlook; strong lead on German GDP.</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6</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ZEW Indicator of Economic Sentiment (Germany &amp; EZ)</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Investor survey / ZEW</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Monthly survey of financial analysts on 6m outlook; very market-sensitive.</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7</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Sentix Investor Confidence (Euro Area)</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Investor survey / Sentix</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First-mover sentiment indicator; tends to lead ZEW and ifo.</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8</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European Commission Economic Sentiment Indicator (ESI)</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Composite / EC DG-ECFIN</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Weighted: industry 40%, services 30%, consumer 20%, retail 5%, construction 5%.</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9</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EC Industrial Confidence</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EC</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Production expectations, order books, stocks.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10</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EC Services Confidence</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EC</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Demand expectations and business situation.</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11</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EC Consumer Confidence (Flash)</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Consumer / EC</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Released late in month; 12m expectations component most useful.</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12</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INSEE Business Climate (France)</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INSEE</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Monthly industry survey; important for the second-largest EZ economy.</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13</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ISTAT Business Confidence (Italy)</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ISTAT</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Manufacturing, construction, retail, services components.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14</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Bund Yield Curve (10Y–2Y)</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Rates / ECB</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Monetary-stance signal for euro area.</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15</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Peripheral Spreads: BTP-Bund, OAT-Bund</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Rates / ECB</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Sovereign risk proxy; indicator of eurozone integration stress.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16</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iTraxx Europe Main &amp; Crossover (CDS)</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Credit / Markit</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IG and HY corporate credit spreads.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17</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EuroStoxx 50 / Stoxx Europe 600</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Equities / Stoxx</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Cycle-leading equity benchmarks.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18</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V2X (Euro Stoxx 50 Volatility Index)</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Volatility / Eurex</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European equivalent of VIX.</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19</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ECB Bank Lending Survey (BLS)</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Credit / ECB</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Quarterly net % of banks tightening standards; leads loan growth.</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20</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M3 Money Supply (real YoY)</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Monetary / ECB</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Long-standing ECB reference aggregate.</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21</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Credit Impulse (change in flow of new credit)</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Credit / ECB</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Change in rate of credit growth; leads activity.</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22</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Construction PMI &amp; Permits</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Housing / S&amp;P Global, Eurostat</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Cycle-sensitive sector; permits lead starts.</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23</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Eurozone Industrial Production</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Output / Eurostat</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Bloc-level factory output.</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24</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Eurozone Retail Sales Volume</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Consumer / Eurostat</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Harmonised retail volume index.</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25</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Eurozone GDP (flash &amp; final)</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Output / Eurostat</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Flash released ~45 days after quarter-end.</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26</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Euro Area Unemployment Rate</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Labour / Eurostat</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Broadly coincident in EZ due to labour-market rigidities (slightly more coincident than lagging vs US).</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27</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Employment Change (quarterly)</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Labour / Eurostat</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Cycle-coincident.</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28</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Germany Factory Orders</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Orders / Destatis</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Key early read on German industrial cycle.</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29</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Germany Industrial Production</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Output / Destatis</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Bellwether for euro-area manufacturing.</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30</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HICP Inflation (headline &amp; core)</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Prices / Eurostat</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ECB target variable; lags cycle.</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31</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Negotiated Wage Growth</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Labour / ECB</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Quarterly; ECB closely watched post-inflation shock.</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32</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ECB Deposit Facility Rate</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Rates / ECB</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Policy rate responds to lagging data.</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33</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Corporate Insolvencies</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Credit / Eurostat</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Peak well after trough.</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34</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Unit Labour Costs</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Labour / Eurostat</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Confirms cycle with lag.</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35</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Labour Cost Index YoY</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Labour / Eurostat</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Quarterly; lagging.</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36</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Productivity per Hour Worked</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Productivity / Eurostat</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Structural variable; cycle-sensitive.</w:t>
            </w:r>
          </w:p>
        </w:tc>
      </w:tr>
    </w:tbl>
    <w:p>
      <w:pPr>
        <w:pageBreakBefore/>
      </w:pPr>
      <w:r>
        <w:t xml:space="preserve"/>
      </w:r>
    </w:p>
    <w:p>
      <w:pPr>
        <w:pStyle w:val="Heading1"/>
        <w:spacing w:after="180" w:before="360"/>
      </w:pPr>
      <w:r>
        <w:t xml:space="preserve">4. JAPAN</w:t>
      </w:r>
    </w:p>
    <w:p>
      <w:pPr>
        <w:spacing w:after="180"/>
      </w:pPr>
      <w:r>
        <w:rPr>
          <w:i/>
          <w:iCs/>
          <w:color w:val="404040"/>
          <w:sz w:val="20"/>
          <w:szCs w:val="20"/>
        </w:rPr>
        <w:t xml:space="preserve">Tankan (quarterly) is the flagship business survey; Economy Watchers Survey and machinery orders add texture between Tankans. JPY REER matters materially given exporter earnings translation. Official LEI / CEI from ESRI uses 11-12 component composites.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gridCol w:w="3240"/>
      </w:tblGrid>
      <w:tr>
        <w:tc>
          <w:tcPr>
            <w:tcW w:type="dxa" w:w="324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bCs/>
                <w:i w:val="false"/>
                <w:iCs w:val="false"/>
                <w:sz w:val="18"/>
                <w:szCs w:val="18"/>
              </w:rPr>
              <w:t xml:space="preserve">LEADING (L)</w:t>
            </w:r>
          </w:p>
        </w:tc>
        <w:tc>
          <w:tcPr>
            <w:tcW w:type="dxa" w:w="324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bCs/>
                <w:i w:val="false"/>
                <w:iCs w:val="false"/>
                <w:sz w:val="18"/>
                <w:szCs w:val="18"/>
              </w:rPr>
              <w:t xml:space="preserve">COINCIDENT (C)</w:t>
            </w:r>
          </w:p>
        </w:tc>
        <w:tc>
          <w:tcPr>
            <w:tcW w:type="dxa" w:w="324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bCs/>
                <w:i w:val="false"/>
                <w:iCs w:val="false"/>
                <w:sz w:val="18"/>
                <w:szCs w:val="18"/>
              </w:rPr>
              <w:t xml:space="preserve">LAGGING (G)</w:t>
            </w:r>
          </w:p>
        </w:tc>
        <w:tc>
          <w:tcPr>
            <w:tcW w:type="dxa" w:w="32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iCs/>
                <w:sz w:val="16"/>
                <w:szCs w:val="16"/>
              </w:rPr>
              <w:t xml:space="preserve">Tends to turn 3–12m ahead of cycle</w:t>
            </w:r>
          </w:p>
        </w:tc>
      </w:tr>
    </w:tbl>
    <w:p>
      <w:pPr>
        <w:spacing w:after="80"/>
      </w:pPr>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3200"/>
        <w:gridCol w:w="4560"/>
      </w:tblGrid>
      <w:tr>
        <w:trPr>
          <w:tblHeader/>
        </w:trPr>
        <w:tc>
          <w:tcPr>
            <w:tcW w:type="dxa" w:w="70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color w:val="FFFFFF"/>
                <w:sz w:val="20"/>
                <w:szCs w:val="20"/>
              </w:rPr>
              <w:t xml:space="preserve">#</w:t>
            </w:r>
          </w:p>
        </w:tc>
        <w:tc>
          <w:tcPr>
            <w:tcW w:type="dxa" w:w="450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color w:val="FFFFFF"/>
                <w:sz w:val="20"/>
                <w:szCs w:val="20"/>
              </w:rPr>
              <w:t xml:space="preserve">Indicator</w:t>
            </w:r>
          </w:p>
        </w:tc>
        <w:tc>
          <w:tcPr>
            <w:tcW w:type="dxa" w:w="320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color w:val="FFFFFF"/>
                <w:sz w:val="20"/>
                <w:szCs w:val="20"/>
              </w:rPr>
              <w:t xml:space="preserve">Category / Source</w:t>
            </w:r>
          </w:p>
        </w:tc>
        <w:tc>
          <w:tcPr>
            <w:tcW w:type="dxa" w:w="456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color w:val="FFFFFF"/>
                <w:sz w:val="20"/>
                <w:szCs w:val="20"/>
              </w:rPr>
              <w:t xml:space="preserve">Notes / Why it matters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au Jibun Bank Japan Manufacturing PMI</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S&amp;P Global</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Monthly factory survey; new orders sub-index watched.</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2</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au Jibun Bank Japan Services PMI</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S&amp;P Global</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Services sector survey.</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3</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Tankan: Large Manufacturers DI (current &amp; outlook)</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BoJ</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Quarterly; outlook component is the forward-looking read.</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4</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Tankan: Large Non-Manufacturers DI</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BoJ</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Services-side twin of the manufacturing Tankan.</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5</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Tankan: Small Enterprises DI</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BoJ</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Broader SME coverage; useful for domestic-demand read.</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6</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Tankan All-Industry Capex Plans (FY)</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BoJ</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Fiscal-year capex intentions — key for equity strategists.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7</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Reuters Tankan</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Reuters</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Monthly; useful bridge between quarterly Tankan releases.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8</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Japan Leading Economic Index (ESRI, composite)</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Composite / Cabinet Office</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12-component index incl. inventory ratios, machinery orders, TOPIX, consumer sentiment.</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9</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Conference Board LEI Japan</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Composite / Conference Board</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10 components incl. operating profits, dwelling starts, TOPIX, yield spread, machinery orders.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10</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Machinery Orders (core, private ex-ships)</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Orders / Cabinet Office</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Capex proxy; leads investment by ~6 months.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11</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Machine Tool Orders YoY (JMTBA)</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Orders / JMTBA</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Export-sensitive capex gauge; early global cycle read.</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12</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Housing Starts (dwellings started)</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Housing / MLIT</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Cycle-sensitive residential starts.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13</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Economy Watchers Survey – Outlook DI</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Cabinet Office</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Taxi drivers, hoteliers, retailers — ground-level outlook.</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14</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TOPIX / Nikkei 225</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Equities / TSE</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Topix featured in multiple LEI composites.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15</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JGB Yield Curve (10Y–2Y)</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Rates / BoJ, MoF</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Given YCC legacy, less signal than US; still monitored.</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16</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JPY Trade-Weighted Real Effective Exchange Rate</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FX / BIS</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Weak JPY historically supports exporter earnings.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17</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Consumer Confidence Index (Cabinet Office)</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Consumer / Cabinet Office</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Five-component household survey.</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18</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Inventory-to-Shipments Ratio (manufacturing)</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Inventories / METI</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Ratio component in LEI; stock overhangs signal weakness.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19</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Money Supply (M2 &amp; M3 YoY)</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Monetary / BoJ</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Monetary signal.</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20</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Business Conditions DI (BSI Large Manufacturing)</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MoF-CAO</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Quarterly joint MoF/Cabinet Office survey.</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21</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Japan Coincident Economic Index (ESRI)</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Composite / Cabinet Office</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11-component CEI; defines official Japanese business cycle dates.</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22</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Industrial Production (METI)</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Output / METI</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Coincident cycle measure.</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23</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Tertiary Industry Activity Index</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Output / METI</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Services sector output index.</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24</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Retail Sales (MoM &amp; YoY)</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Consumer / METI</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Monthly retail turnover.</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25</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Household Spending (MIAC)</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Consumer / MIAC</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Household consumption survey.</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26</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Real GDP (quarterly)</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Output / Cabinet Office</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Preliminary and revised releases.</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27</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Jobs-to-Applicants Ratio (Active openings)</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Labour / MHLW</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Classic Japanese labour-market tightness gauge; moves with cycle.</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28</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Exports (MoF trade statistics)</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Trade / MoF</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Japan is export-cyclical; semi/auto components key.</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29</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Unemployment Rate</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Labour / MIAC</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Low and slow-moving by DM standards; still lags.</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30</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Core CPI (ex-fresh food)</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Prices / MIAC</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BoJ target measure.</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31</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Core-Core CPI (ex food and energy)</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Prices / MIAC</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Underlying inflation; more lagging than headline.</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32</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Real Cash Earnings</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Labour / MHLW</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Wage growth lags cycle.</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33</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BoJ Policy Rate</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Rates / BoJ</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Policy response lags data.</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34</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Corporate Bankruptcies (TSR / Teikoku)</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Credit / TSR, Teikoku Databank</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Peak after recessions.</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35</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Capacity Utilization Rate (manufacturing)</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Output / METI</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Turns with a small lag.</w:t>
            </w:r>
          </w:p>
        </w:tc>
      </w:tr>
    </w:tbl>
    <w:p>
      <w:pPr>
        <w:pageBreakBefore/>
      </w:pPr>
      <w:r>
        <w:t xml:space="preserve"/>
      </w:r>
    </w:p>
    <w:p>
      <w:pPr>
        <w:pStyle w:val="Heading1"/>
        <w:spacing w:after="180" w:before="360"/>
      </w:pPr>
      <w:r>
        <w:t xml:space="preserve">5. CHINA</w:t>
      </w:r>
    </w:p>
    <w:p>
      <w:pPr>
        <w:spacing w:after="180"/>
      </w:pPr>
      <w:r>
        <w:rPr>
          <w:i/>
          <w:iCs/>
          <w:color w:val="404040"/>
          <w:sz w:val="20"/>
          <w:szCs w:val="20"/>
        </w:rPr>
        <w:t xml:space="preserve">NBS vs Caixin PMI divergence is itself a signal (state-sector vs private/export). Credit impulse and property sales floor space are the two indicators with the highest global spillover. Hard-data indicators (electricity, rail freight, imports) cross-check sometimes-smoothed official series.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gridCol w:w="3240"/>
      </w:tblGrid>
      <w:tr>
        <w:tc>
          <w:tcPr>
            <w:tcW w:type="dxa" w:w="324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bCs/>
                <w:i w:val="false"/>
                <w:iCs w:val="false"/>
                <w:sz w:val="18"/>
                <w:szCs w:val="18"/>
              </w:rPr>
              <w:t xml:space="preserve">LEADING (L)</w:t>
            </w:r>
          </w:p>
        </w:tc>
        <w:tc>
          <w:tcPr>
            <w:tcW w:type="dxa" w:w="324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bCs/>
                <w:i w:val="false"/>
                <w:iCs w:val="false"/>
                <w:sz w:val="18"/>
                <w:szCs w:val="18"/>
              </w:rPr>
              <w:t xml:space="preserve">COINCIDENT (C)</w:t>
            </w:r>
          </w:p>
        </w:tc>
        <w:tc>
          <w:tcPr>
            <w:tcW w:type="dxa" w:w="324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bCs/>
                <w:i w:val="false"/>
                <w:iCs w:val="false"/>
                <w:sz w:val="18"/>
                <w:szCs w:val="18"/>
              </w:rPr>
              <w:t xml:space="preserve">LAGGING (G)</w:t>
            </w:r>
          </w:p>
        </w:tc>
        <w:tc>
          <w:tcPr>
            <w:tcW w:type="dxa" w:w="32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iCs/>
                <w:sz w:val="16"/>
                <w:szCs w:val="16"/>
              </w:rPr>
              <w:t xml:space="preserve">Tends to turn 3–12m ahead of cycle</w:t>
            </w:r>
          </w:p>
        </w:tc>
      </w:tr>
    </w:tbl>
    <w:p>
      <w:pPr>
        <w:spacing w:after="80"/>
      </w:pPr>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3200"/>
        <w:gridCol w:w="4560"/>
      </w:tblGrid>
      <w:tr>
        <w:trPr>
          <w:tblHeader/>
        </w:trPr>
        <w:tc>
          <w:tcPr>
            <w:tcW w:type="dxa" w:w="70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color w:val="FFFFFF"/>
                <w:sz w:val="20"/>
                <w:szCs w:val="20"/>
              </w:rPr>
              <w:t xml:space="preserve">#</w:t>
            </w:r>
          </w:p>
        </w:tc>
        <w:tc>
          <w:tcPr>
            <w:tcW w:type="dxa" w:w="450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color w:val="FFFFFF"/>
                <w:sz w:val="20"/>
                <w:szCs w:val="20"/>
              </w:rPr>
              <w:t xml:space="preserve">Indicator</w:t>
            </w:r>
          </w:p>
        </w:tc>
        <w:tc>
          <w:tcPr>
            <w:tcW w:type="dxa" w:w="320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color w:val="FFFFFF"/>
                <w:sz w:val="20"/>
                <w:szCs w:val="20"/>
              </w:rPr>
              <w:t xml:space="preserve">Category / Source</w:t>
            </w:r>
          </w:p>
        </w:tc>
        <w:tc>
          <w:tcPr>
            <w:tcW w:type="dxa" w:w="456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color w:val="FFFFFF"/>
                <w:sz w:val="20"/>
                <w:szCs w:val="20"/>
              </w:rPr>
              <w:t xml:space="preserve">Notes / Why it matters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NBS Manufacturing PMI</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NBS</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Official PMI; skew towards SOEs and large firms.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2</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NBS Non-Manufacturing PMI (Services + Construction)</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NBS</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Services and construction activity; construction sub reads property/infrastructure.</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3</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Caixin Manufacturing PMI</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S&amp;P Global, Caixin</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Skewed toward smaller private exporters; often diverges from NBS.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4</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Caixin Services PMI</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S&amp;P Global, Caixin</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Private-sector services read.</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5</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Caixin Composite PMI</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S&amp;P Global, Caixin</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Weighted combination of manufacturing and services.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6</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NBS PMI New Orders sub-index</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NBS</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Leading component within PMI.</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7</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NBS PMI New Export Orders sub-index</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NBS</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External demand gauge.</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8</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Credit Impulse (TSF change as % of GDP)</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Credit / PBoC</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China's single most-important macro variable globally; leads IP by ~6m.</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9</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Total Social Financing (TSF) flow &amp; stock</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Credit / PBoC</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Broadest credit aggregate including shadow banking.</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10</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New RMB Loans</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Credit / PBoC</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Bank-lending flow; key monthly release.</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11</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M1 &amp; M2 Money Supply YoY</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Monetary / PBoC</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M1-M2 spread watched as liquidity / animal-spirits gauge.</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12</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China Conference Board LEI</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Composite / Conference Board</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Components: manuf PMI, order book, consumer expectations, raw material supply, floor space started, total loans, yield curve.</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13</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Property Sales Floor Space (residential)</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Housing / NBS / CRIC</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30-city daily data + monthly NBS series; leads property investment.</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14</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Property New Starts (floor space started)</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Housing / NBS</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Leading housing cycle indicator.</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15</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Baltic Dry Index</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Trade / Baltic Exchange</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Dry bulk shipping rates — leading indicator of commodity demand from China.</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16</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CSI 300 / Hang Seng / MSCI China</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Equities / CSI, HSI, MSCI</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Onshore (A-share) vs offshore flows give different reads.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17</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PBoC 7-day Reverse Repo Rate</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Rates / PBoC</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Monetary stance signal.</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18</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China Sovereign Yield Curve (10Y–2Y)</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Rates / PBoC</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Less predictive than DM but watched for domestic cycle.</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19</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Li Keqiang Index (electricity, rail freight, bank loans)</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Composite / unofficial</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Proxy used when official GDP trusted less; still referenced.</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20</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CCFI / SCFI Container Freight Indices</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Trade / Shanghai Shipping Exchange</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Export demand signal.</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21</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Passenger Car Retail Sales (CPCA weekly)</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Consumer / CPCA</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High-frequency consumer durables proxy.</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22</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Industrial Production YoY</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Output / NBS</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Main monthly activity data point alongside retail sales and FAI.</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23</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Retail Sales YoY (nominal &amp; real)</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Consumer / NBS</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Consumer demand gauge.</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24</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Fixed Asset Investment (FAI) YoY YTD</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Investment / NBS</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Split into real estate, manufacturing, infrastructure.</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25</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Real GDP (quarterly YoY &amp; QoQ)</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Output / NBS</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Official GDP — market treats with scepticism but still moves markets.</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26</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Manufacturing Value-Added Growth</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Output / NBS</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Sub-component of industrial production.</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27</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Electricity Production &amp; Consumption YoY</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Output / NBS</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Hard indicator less subject to reporting smoothing.</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28</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Industrial Profits YoY YTD</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Earnings / NBS</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Corporate earnings proxy.</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29</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Imports (USD YoY)</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Trade / Customs</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Domestic demand barometer given commodity intensity.</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30</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Exports (USD YoY)</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Trade / Customs</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External demand gauge.</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31</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CPI Inflation</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Prices / NBS</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Headline and core; food-weighted given pork cycle.</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32</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PPI Inflation</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Prices / NBS</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Commodity-sensitive; leads CPI for goods but lags overall activity.</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33</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Urban Surveyed Unemployment Rate</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Labour / NBS</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Incomplete coverage; slow-moving.</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34</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Youth Unemployment (16–24, ex-students)</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Labour / NBS</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Politically sensitive; reporting methodology has changed.</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35</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Residential Property Prices (70-city)</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Housing / NBS</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Primary market series; confirms cycle with lag.</w:t>
            </w:r>
          </w:p>
        </w:tc>
      </w:tr>
      <w:tr>
        <w:tc>
          <w:tcPr>
            <w:tcW w:type="dxa" w:w="7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val="false"/>
                <w:bCs w:val="false"/>
                <w:i w:val="false"/>
                <w:iCs w:val="false"/>
                <w:sz w:val="18"/>
                <w:szCs w:val="18"/>
              </w:rPr>
              <w:t xml:space="preserve">36</w:t>
            </w:r>
          </w:p>
        </w:tc>
        <w:tc>
          <w:tcPr>
            <w:tcW w:type="dxa" w:w="45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bCs/>
                <w:i w:val="false"/>
                <w:iCs w:val="false"/>
                <w:sz w:val="19"/>
                <w:szCs w:val="19"/>
              </w:rPr>
              <w:t xml:space="preserve">Household Debt to GDP</w:t>
            </w:r>
          </w:p>
        </w:tc>
        <w:tc>
          <w:tcPr>
            <w:tcW w:type="dxa" w:w="320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iCs/>
                <w:sz w:val="18"/>
                <w:szCs w:val="18"/>
              </w:rPr>
              <w:t xml:space="preserve">Credit / PBoC, NBS</w:t>
            </w:r>
          </w:p>
        </w:tc>
        <w:tc>
          <w:tcPr>
            <w:tcW w:type="dxa" w:w="456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left"/>
            </w:pPr>
            <w:r>
              <w:rPr>
                <w:b w:val="false"/>
                <w:bCs w:val="false"/>
                <w:i w:val="false"/>
                <w:iCs w:val="false"/>
                <w:sz w:val="18"/>
                <w:szCs w:val="18"/>
              </w:rPr>
              <w:t xml:space="preserve">Slow-moving structural measure.</w:t>
            </w:r>
          </w:p>
        </w:tc>
      </w:tr>
    </w:tbl>
    <w:p>
      <w:pPr>
        <w:pageBreakBefore/>
      </w:pPr>
      <w:r>
        <w:t xml:space="preserve"/>
      </w:r>
    </w:p>
    <w:p>
      <w:pPr>
        <w:pStyle w:val="Heading1"/>
        <w:spacing w:after="180" w:before="360"/>
      </w:pPr>
      <w:r>
        <w:t xml:space="preserve">6. GLOBAL / CROSS-REGION</w:t>
      </w:r>
    </w:p>
    <w:p>
      <w:pPr>
        <w:spacing w:after="180"/>
      </w:pPr>
      <w:r>
        <w:rPr>
          <w:i/>
          <w:iCs/>
          <w:color w:val="404040"/>
          <w:sz w:val="20"/>
          <w:szCs w:val="20"/>
        </w:rPr>
        <w:t xml:space="preserve">For top-of-funnel cycle monitoring and global risk-on / risk-off positioning. These aggregates blend the underlying regional data and add cross-asset variables (FX, commodities, vol) that anchor multi-asset frameworks.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gridCol w:w="3240"/>
      </w:tblGrid>
      <w:tr>
        <w:tc>
          <w:tcPr>
            <w:tcW w:type="dxa" w:w="324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bCs/>
                <w:i w:val="false"/>
                <w:iCs w:val="false"/>
                <w:sz w:val="18"/>
                <w:szCs w:val="18"/>
              </w:rPr>
              <w:t xml:space="preserve">LEADING (L)</w:t>
            </w:r>
          </w:p>
        </w:tc>
        <w:tc>
          <w:tcPr>
            <w:tcW w:type="dxa" w:w="324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bCs/>
                <w:i w:val="false"/>
                <w:iCs w:val="false"/>
                <w:sz w:val="18"/>
                <w:szCs w:val="18"/>
              </w:rPr>
              <w:t xml:space="preserve">COINCIDENT (C)</w:t>
            </w:r>
          </w:p>
        </w:tc>
        <w:tc>
          <w:tcPr>
            <w:tcW w:type="dxa" w:w="3240"/>
            <w:tcBorders>
              <w:top w:val="single" w:color="B0B0B0" w:sz="4"/>
              <w:left w:val="single" w:color="B0B0B0" w:sz="4"/>
              <w:bottom w:val="single" w:color="B0B0B0" w:sz="4"/>
              <w:right w:val="single" w:color="B0B0B0" w:sz="4"/>
            </w:tcBorders>
            <w:shd w:fill="EDE0E0" w:val="clear"/>
            <w:tcMar>
              <w:top w:type="dxa" w:w="80"/>
              <w:left w:type="dxa" w:w="120"/>
              <w:bottom w:type="dxa" w:w="80"/>
              <w:right w:type="dxa" w:w="120"/>
            </w:tcMar>
          </w:tcPr>
          <w:p>
            <w:pPr>
              <w:jc w:val="center"/>
            </w:pPr>
            <w:r>
              <w:rPr>
                <w:b/>
                <w:bCs/>
                <w:i w:val="false"/>
                <w:iCs w:val="false"/>
                <w:sz w:val="18"/>
                <w:szCs w:val="18"/>
              </w:rPr>
              <w:t xml:space="preserve">LAGGING (G)</w:t>
            </w:r>
          </w:p>
        </w:tc>
        <w:tc>
          <w:tcPr>
            <w:tcW w:type="dxa" w:w="32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val="false"/>
                <w:bCs w:val="false"/>
                <w:i/>
                <w:iCs/>
                <w:sz w:val="16"/>
                <w:szCs w:val="16"/>
              </w:rPr>
              <w:t xml:space="preserve">Tends to turn 3–12m ahead of cycle</w:t>
            </w:r>
          </w:p>
        </w:tc>
      </w:tr>
    </w:tbl>
    <w:p>
      <w:pPr>
        <w:spacing w:after="80"/>
      </w:pPr>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3200"/>
        <w:gridCol w:w="4560"/>
      </w:tblGrid>
      <w:tr>
        <w:trPr>
          <w:tblHeader/>
        </w:trPr>
        <w:tc>
          <w:tcPr>
            <w:tcW w:type="dxa" w:w="70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center"/>
            </w:pPr>
            <w:r>
              <w:rPr>
                <w:b/>
                <w:bCs/>
                <w:color w:val="FFFFFF"/>
                <w:sz w:val="20"/>
                <w:szCs w:val="20"/>
              </w:rPr>
              <w:t xml:space="preserve">#</w:t>
            </w:r>
          </w:p>
        </w:tc>
        <w:tc>
          <w:tcPr>
            <w:tcW w:type="dxa" w:w="450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color w:val="FFFFFF"/>
                <w:sz w:val="20"/>
                <w:szCs w:val="20"/>
              </w:rPr>
              <w:t xml:space="preserve">Indicator</w:t>
            </w:r>
          </w:p>
        </w:tc>
        <w:tc>
          <w:tcPr>
            <w:tcW w:type="dxa" w:w="320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color w:val="FFFFFF"/>
                <w:sz w:val="20"/>
                <w:szCs w:val="20"/>
              </w:rPr>
              <w:t xml:space="preserve">Category / Source</w:t>
            </w:r>
          </w:p>
        </w:tc>
        <w:tc>
          <w:tcPr>
            <w:tcW w:type="dxa" w:w="4560"/>
            <w:tcBorders>
              <w:top w:val="single" w:color="B0B0B0" w:sz="4"/>
              <w:left w:val="single" w:color="B0B0B0" w:sz="4"/>
              <w:bottom w:val="single" w:color="B0B0B0" w:sz="4"/>
              <w:right w:val="single" w:color="B0B0B0" w:sz="4"/>
            </w:tcBorders>
            <w:shd w:fill="1F3A5F" w:val="clear"/>
            <w:tcMar>
              <w:top w:type="dxa" w:w="80"/>
              <w:left w:type="dxa" w:w="120"/>
              <w:bottom w:type="dxa" w:w="80"/>
              <w:right w:type="dxa" w:w="120"/>
            </w:tcMar>
          </w:tcPr>
          <w:p>
            <w:pPr>
              <w:jc w:val="left"/>
            </w:pPr>
            <w:r>
              <w:rPr>
                <w:b/>
                <w:bCs/>
                <w:color w:val="FFFFFF"/>
                <w:sz w:val="20"/>
                <w:szCs w:val="20"/>
              </w:rPr>
              <w:t xml:space="preserve">Notes / Why it matters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J.P. Morgan Global Composite PMI (S&amp;P Global)</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S&amp;P Global</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GDP-weighted aggregate of 40+ country PMIs; single best global growth gauge.</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2</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J.P. Morgan Global Manufacturing PMI</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Business survey / S&amp;P Global</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Manufacturing-only cut; more cyclically volatile.</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3</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OECD Composite Leading Indicator (CLI) - all countries</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Composite / OECD</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Country-standardised CLIs for 38+ economies; flags turning points.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4</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Conference Board Global LEI</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Composite / Conference Board</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Aggregates country LEIs into global composite.</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5</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Global Credit Impulse (BIS / private aggregates)</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Credit / BIS</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Sum of major-economy credit impulses; correlated with global trade.</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6</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Baltic Dry Index (BDI)</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Trade / Baltic Exchange</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Dry-bulk shipping rates; global commodity demand signal.</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7</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Drewry World Container Index</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Trade / Drewry</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Container freight; leads goods trade.</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8</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Semiconductor Billings (SIA) / Book-to-Bill</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Trade / SIA, SEMI</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Classic early cycle tech leading indicator.</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9</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Copper Price / Copper-Gold Ratio</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Commodities / LME, LBMA</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"Doctor Copper" — industrial demand signal; ratio tracks US 10Y.</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10</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Brent / WTI Crude Prices</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Commodities / ICE, NYMEX</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Demand-driven moves signal cycle; supply-driven shocks impair signal.</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11</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Bloomberg Commodity Index (BCOM)</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Commodities / Bloomberg</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Broad commodity basket.</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12</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MSCI ACWI / MSCI World</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Equities / MSCI</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Global equity benchmarks as leading cycle indicator.</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13</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Global Equity Breadth (% above 200-day MA)</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Equities / proprietary</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Internal health of equity uptrend.</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14</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US Dollar Index (DXY) / BBDXY</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FX / ICE, Bloomberg</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Strong USD typically tightens global financial conditions.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15</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DM High-Yield Credit Spreads (Global HY)</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Credit / ICE BofA</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Global HY OAS; leading risk-asset indicator.</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16</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EM Sovereign Spreads (EMBI Global)</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Credit / J.P. Morgan</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Hard-currency EM risk premium vs Treasuries.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17</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OFR Financial Stress Index</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Financial conditions / OFR</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33-variable daily stress index; credit, equity, funding, safe assets, volatility.</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18</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Goldman Sachs / Bloomberg Financial Conditions Index</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Financial conditions / GS, Bloomberg</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Composite of rates, spreads, equity, FX.</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19</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VIX / V2X / VXN (equity volatility)</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Volatility / CBOE, Eurex</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Implied vol indices — inverse to risk appetite.</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20</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MOVE Index (Treasury vol)</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Volatility / ICE BofA</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Rates-market volatility; leading for credit stress.</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21</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Global Gold Price / Real Yield Relationship</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Commodities / LBMA</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Gold vs TIPS yield — real-rates gauge and safe-haven demand.</w:t>
            </w:r>
          </w:p>
        </w:tc>
      </w:tr>
      <w:tr>
        <w:tc>
          <w:tcPr>
            <w:tcW w:type="dxa" w:w="7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center"/>
            </w:pPr>
            <w:r>
              <w:rPr>
                <w:b w:val="false"/>
                <w:bCs w:val="false"/>
                <w:i w:val="false"/>
                <w:iCs w:val="false"/>
                <w:sz w:val="18"/>
                <w:szCs w:val="18"/>
              </w:rPr>
              <w:t xml:space="preserve">22</w:t>
            </w:r>
          </w:p>
        </w:tc>
        <w:tc>
          <w:tcPr>
            <w:tcW w:type="dxa" w:w="45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bCs/>
                <w:i w:val="false"/>
                <w:iCs w:val="false"/>
                <w:sz w:val="19"/>
                <w:szCs w:val="19"/>
              </w:rPr>
              <w:t xml:space="preserve">GS / BCA / TS Lombard Cycle Models</w:t>
            </w:r>
          </w:p>
        </w:tc>
        <w:tc>
          <w:tcPr>
            <w:tcW w:type="dxa" w:w="320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iCs/>
                <w:sz w:val="18"/>
                <w:szCs w:val="18"/>
              </w:rPr>
              <w:t xml:space="preserve">Composite / sell-side &amp; independent research</w:t>
            </w:r>
          </w:p>
        </w:tc>
        <w:tc>
          <w:tcPr>
            <w:tcW w:type="dxa" w:w="4560"/>
            <w:tcBorders>
              <w:top w:val="single" w:color="B0B0B0" w:sz="4"/>
              <w:left w:val="single" w:color="B0B0B0" w:sz="4"/>
              <w:bottom w:val="single" w:color="B0B0B0" w:sz="4"/>
              <w:right w:val="single" w:color="B0B0B0" w:sz="4"/>
            </w:tcBorders>
            <w:shd w:fill="DCE7F2" w:val="clear"/>
            <w:tcMar>
              <w:top w:type="dxa" w:w="80"/>
              <w:left w:type="dxa" w:w="120"/>
              <w:bottom w:type="dxa" w:w="80"/>
              <w:right w:type="dxa" w:w="120"/>
            </w:tcMar>
          </w:tcPr>
          <w:p>
            <w:pPr>
              <w:jc w:val="left"/>
            </w:pPr>
            <w:r>
              <w:rPr>
                <w:b w:val="false"/>
                <w:bCs w:val="false"/>
                <w:i w:val="false"/>
                <w:iCs w:val="false"/>
                <w:sz w:val="18"/>
                <w:szCs w:val="18"/>
              </w:rPr>
              <w:t xml:space="preserve">Discretionary cycle dashboards used by many allocators.</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23</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Global Trade Volumes (CPB World Trade Monitor)</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Trade / CPB Netherlands</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Widely-used monthly global trade aggregate.</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24</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World Industrial Production (CPB)</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Output / CPB Netherlands</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Counterpart to world trade series.</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25</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Earnings Revisions Ratio (IBES / Refinitiv)</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Earnings / LSEG, Factset</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Upgrades vs downgrades; coincident with fundamentals.</w:t>
            </w:r>
          </w:p>
        </w:tc>
      </w:tr>
      <w:tr>
        <w:tc>
          <w:tcPr>
            <w:tcW w:type="dxa" w:w="7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center"/>
            </w:pPr>
            <w:r>
              <w:rPr>
                <w:b w:val="false"/>
                <w:bCs w:val="false"/>
                <w:i w:val="false"/>
                <w:iCs w:val="false"/>
                <w:sz w:val="18"/>
                <w:szCs w:val="18"/>
              </w:rPr>
              <w:t xml:space="preserve">26</w:t>
            </w:r>
          </w:p>
        </w:tc>
        <w:tc>
          <w:tcPr>
            <w:tcW w:type="dxa" w:w="45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bCs/>
                <w:i w:val="false"/>
                <w:iCs w:val="false"/>
                <w:sz w:val="19"/>
                <w:szCs w:val="19"/>
              </w:rPr>
              <w:t xml:space="preserve">MSCI Regional Earnings Growth (trailing)</w:t>
            </w:r>
          </w:p>
        </w:tc>
        <w:tc>
          <w:tcPr>
            <w:tcW w:type="dxa" w:w="320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iCs/>
                <w:sz w:val="18"/>
                <w:szCs w:val="18"/>
              </w:rPr>
              <w:t xml:space="preserve">Earnings / MSCI</w:t>
            </w:r>
          </w:p>
        </w:tc>
        <w:tc>
          <w:tcPr>
            <w:tcW w:type="dxa" w:w="4560"/>
            <w:tcBorders>
              <w:top w:val="single" w:color="B0B0B0" w:sz="4"/>
              <w:left w:val="single" w:color="B0B0B0" w:sz="4"/>
              <w:bottom w:val="single" w:color="B0B0B0" w:sz="4"/>
              <w:right w:val="single" w:color="B0B0B0" w:sz="4"/>
            </w:tcBorders>
            <w:shd w:fill="E8E4D9" w:val="clear"/>
            <w:tcMar>
              <w:top w:type="dxa" w:w="80"/>
              <w:left w:type="dxa" w:w="120"/>
              <w:bottom w:type="dxa" w:w="80"/>
              <w:right w:type="dxa" w:w="120"/>
            </w:tcMar>
          </w:tcPr>
          <w:p>
            <w:pPr>
              <w:jc w:val="left"/>
            </w:pPr>
            <w:r>
              <w:rPr>
                <w:b w:val="false"/>
                <w:bCs w:val="false"/>
                <w:i w:val="false"/>
                <w:iCs w:val="false"/>
                <w:sz w:val="18"/>
                <w:szCs w:val="18"/>
              </w:rPr>
              <w:t xml:space="preserve">Actual earnings delivery across regions.</w:t>
            </w:r>
          </w:p>
        </w:tc>
      </w:tr>
    </w:tbl>
    <w:p>
      <w:pPr>
        <w:pageBreakBefore/>
      </w:pPr>
      <w:r>
        <w:t xml:space="preserve"/>
      </w:r>
    </w:p>
    <w:p>
      <w:pPr>
        <w:pStyle w:val="Heading1"/>
        <w:spacing w:after="180" w:before="360"/>
      </w:pPr>
      <w:r>
        <w:t xml:space="preserve">Appendix: Suggested data-source priorities</w:t>
      </w:r>
    </w:p>
    <w:p>
      <w:pPr>
        <w:spacing w:after="120"/>
      </w:pPr>
      <w:r>
        <w:rPr>
          <w:sz w:val="20"/>
          <w:szCs w:val="20"/>
        </w:rPr>
        <w:t xml:space="preserve">For a production monitoring workflow the practical hierarchy of sources is:</w:t>
      </w:r>
    </w:p>
    <w:p>
      <w:pPr>
        <w:pStyle w:val="ListParagraph"/>
        <w:numPr>
          <w:ilvl w:val="0"/>
          <w:numId w:val="2"/>
        </w:numPr>
        <w:spacing w:after="80"/>
      </w:pPr>
      <w:r>
        <w:rPr>
          <w:sz w:val="20"/>
          <w:szCs w:val="20"/>
        </w:rPr>
        <w:t xml:space="preserve">Bloomberg / LSEG Workspace (Refinitiv) — central data store; best for real-time market variables, PMI releases, fixed income, FX.</w:t>
      </w:r>
    </w:p>
    <w:p>
      <w:pPr>
        <w:pStyle w:val="ListParagraph"/>
        <w:numPr>
          <w:ilvl w:val="0"/>
          <w:numId w:val="2"/>
        </w:numPr>
        <w:spacing w:after="80"/>
      </w:pPr>
      <w:r>
        <w:rPr>
          <w:sz w:val="20"/>
          <w:szCs w:val="20"/>
        </w:rPr>
        <w:t xml:space="preserve">FRED (St Louis Fed) — free, API-accessible, comprehensive for US and much international data including OECD CLI, ICE BofA OAS series.</w:t>
      </w:r>
    </w:p>
    <w:p>
      <w:pPr>
        <w:pStyle w:val="ListParagraph"/>
        <w:numPr>
          <w:ilvl w:val="0"/>
          <w:numId w:val="2"/>
        </w:numPr>
        <w:spacing w:after="80"/>
      </w:pPr>
      <w:r>
        <w:rPr>
          <w:sz w:val="20"/>
          <w:szCs w:val="20"/>
        </w:rPr>
        <w:t xml:space="preserve">Conference Board Data Central — authoritative for LEI/CEI/LAG composites across 12+ economies (subscription).</w:t>
      </w:r>
    </w:p>
    <w:p>
      <w:pPr>
        <w:pStyle w:val="ListParagraph"/>
        <w:numPr>
          <w:ilvl w:val="0"/>
          <w:numId w:val="2"/>
        </w:numPr>
        <w:spacing w:after="80"/>
      </w:pPr>
      <w:r>
        <w:rPr>
          <w:sz w:val="20"/>
          <w:szCs w:val="20"/>
        </w:rPr>
        <w:t xml:space="preserve">OECD.Stat — CLIs, standardised international data, free.</w:t>
      </w:r>
    </w:p>
    <w:p>
      <w:pPr>
        <w:pStyle w:val="ListParagraph"/>
        <w:numPr>
          <w:ilvl w:val="0"/>
          <w:numId w:val="2"/>
        </w:numPr>
        <w:spacing w:after="80"/>
      </w:pPr>
      <w:r>
        <w:rPr>
          <w:sz w:val="20"/>
          <w:szCs w:val="20"/>
        </w:rPr>
        <w:t xml:space="preserve">National statistical offices — ONS (UK), Eurostat (EU), BoJ/ESRI (Japan), NBS (China) for definitive series and revisions.</w:t>
      </w:r>
    </w:p>
    <w:p>
      <w:pPr>
        <w:pStyle w:val="ListParagraph"/>
        <w:numPr>
          <w:ilvl w:val="0"/>
          <w:numId w:val="2"/>
        </w:numPr>
        <w:spacing w:after="80"/>
      </w:pPr>
      <w:r>
        <w:rPr>
          <w:sz w:val="20"/>
          <w:szCs w:val="20"/>
        </w:rPr>
        <w:t xml:space="preserve">S&amp;P Global PMI portal — free headlines and press releases for PMI series across 40+ economies.</w:t>
      </w:r>
    </w:p>
    <w:p>
      <w:pPr>
        <w:pStyle w:val="ListParagraph"/>
        <w:numPr>
          <w:ilvl w:val="0"/>
          <w:numId w:val="2"/>
        </w:numPr>
        <w:spacing w:after="80"/>
      </w:pPr>
      <w:r>
        <w:rPr>
          <w:sz w:val="20"/>
          <w:szCs w:val="20"/>
        </w:rPr>
        <w:t xml:space="preserve">National central banks — BoE, ECB, Fed, BoJ, PBoC for lending surveys, credit aggregates, financial stability publications.</w:t>
      </w:r>
    </w:p>
    <w:p>
      <w:pPr>
        <w:pStyle w:val="ListParagraph"/>
        <w:numPr>
          <w:ilvl w:val="0"/>
          <w:numId w:val="2"/>
        </w:numPr>
        <w:spacing w:after="80"/>
      </w:pPr>
      <w:r>
        <w:rPr>
          <w:sz w:val="20"/>
          <w:szCs w:val="20"/>
        </w:rPr>
        <w:t xml:space="preserve">Sell-side strategists — Goldman Sachs, J.P. Morgan, Morgan Stanley, UBS, Deutsche, BCA and TS Lombard offer proprietary cycle dashboards that blend many of the above.</w:t>
      </w:r>
    </w:p>
    <w:p>
      <w:pPr>
        <w:spacing w:after="120"/>
      </w:pPr>
      <w:r>
        <w:t xml:space="preserve"/>
      </w:r>
    </w:p>
    <w:p>
      <w:pPr>
        <w:spacing w:after="120"/>
      </w:pPr>
      <w:r>
        <w:rPr>
          <w:i/>
          <w:iCs/>
          <w:sz w:val="18"/>
          <w:szCs w:val="18"/>
        </w:rPr>
        <w:t xml:space="preserve">Compiled from: Conference Board (LEI component definitions), OECD (CLI methodology), S&amp;P Global / HCOB / Caixin PMI documentation, OFR Financial Stress Index, Bank of Japan Tankan documentation, European Commission DG-ECFIN, ONS / House of Commons Library economic indicators briefings, and institutional research publications (BlackRock Investment Directions, J.P. Morgan Guide to the Markets, AllianceBernstein, Wellington, AMP).</w:t>
      </w:r>
    </w:p>
    <w:sectPr>
      <w:footerReference w:type="default" r:id="rId7"/>
      <w:pgSz w:w="15840" w:h="12240"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Macro &amp; Market Indicator Reference · </w:t>
    </w:r>
    <w:r>
      <w:rPr>
        <w:color w:val="808080"/>
        <w:sz w:val="16"/>
        <w:szCs w:val="16"/>
      </w:rPr>
      <w:fldChar w:fldCharType="begin"/>
      <w:instrText xml:space="preserve">PAGE</w:instrText>
      <w:fldChar w:fldCharType="separate"/>
      <w:fldChar w:fldCharType="end"/>
    </w:r>
    <w:r>
      <w:rPr>
        <w:color w:val="808080"/>
        <w:sz w:val="16"/>
        <w:szCs w:val="16"/>
      </w:rPr>
      <w:t xml:space="preserve"> /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Macro and Market Indicator Reference</dc:title>
  <dc:creator>Kas</dc:creator>
  <dc:description>Leading, Coincident and Lagging Indicators by Region</dc:description>
  <cp:lastModifiedBy>Un-named</cp:lastModifiedBy>
  <cp:revision>1</cp:revision>
  <dcterms:created xsi:type="dcterms:W3CDTF">2026-04-21T14:34:47.233Z</dcterms:created>
  <dcterms:modified xsi:type="dcterms:W3CDTF">2026-04-21T14:34:47.233Z</dcterms:modified>
</cp:coreProperties>
</file>

<file path=docProps/custom.xml><?xml version="1.0" encoding="utf-8"?>
<Properties xmlns="http://schemas.openxmlformats.org/officeDocument/2006/custom-properties" xmlns:vt="http://schemas.openxmlformats.org/officeDocument/2006/docPropsVTypes"/>
</file>