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Market Dashboard Auto</w:t>
      </w:r>
    </w:p>
    <w:p>
      <w:pPr>
        <w:jc w:val="center"/>
      </w:pPr>
      <w:r>
        <w:rPr>
          <w:sz w:val="28"/>
        </w:rPr>
        <w:t>Project Report — Data Pipeline &amp; Composite Indicator Layer</w:t>
      </w:r>
    </w:p>
    <w:p/>
    <w:p/>
    <w:p/>
    <w:p>
      <w:pPr>
        <w:jc w:val="center"/>
      </w:pPr>
      <w:r>
        <w:rPr>
          <w:i/>
          <w:sz w:val="22"/>
        </w:rPr>
        <w:t>Report dated 5 May 2026</w:t>
      </w:r>
    </w:p>
    <w:p>
      <w:r>
        <w:br w:type="page"/>
      </w:r>
    </w:p>
    <w:p>
      <w:pPr>
        <w:pStyle w:val="Heading1"/>
      </w:pPr>
      <w:r>
        <w:t>Step 1 — OMML rendering probe</w:t>
      </w:r>
    </w:p>
    <w:p>
      <w:r>
        <w:t>This section exists solely to verify that mathematical formulae render as native Microsoft Word equations (Office Math Markup Language) — selectable, editable through Word's equation editor, and typeset with the conventional italic-symbol / upright-label distinction. Once verified, subsequent build steps populate the report body.</w:t>
      </w:r>
    </w:p>
    <w:p>
      <w:r>
        <w:t xml:space="preserve">The fundamental USD-adjusted return identity used throughout the comp pipeline is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USD</m:t>
            </m:r>
          </m:sub>
        </m:sSub>
        <m:r>
          <m:t>=</m:t>
        </m:r>
        <m:d>
          <m:dPr>
            <m:begChr m:val="("/>
            <m:endChr m:val=")"/>
          </m:dPr>
          <m:e>
            <m:r>
              <m:t>1+</m:t>
            </m:r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local</m:t>
                </m:r>
              </m:sub>
            </m:sSub>
          </m:e>
        </m:d>
        <m:d>
          <m:dPr>
            <m:begChr m:val="("/>
            <m:endChr m:val=")"/>
          </m:dPr>
          <m:e>
            <m:r>
              <m:t>1+</m:t>
            </m:r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FX</m:t>
                </m:r>
              </m:sub>
            </m:sSub>
          </m:e>
        </m:d>
        <m:r>
          <m:t>−1</m:t>
        </m:r>
      </m:oMath>
      <w:r>
        <w:t>, expressed inline within a sentence.</w:t>
      </w:r>
    </w:p>
    <w:p>
      <w:r>
        <w:t>Presented as a display equation, the same identity reads:</w:t>
      </w:r>
    </w:p>
    <w:p>
      <w:pPr>
        <w:jc w:val="center"/>
      </w:pPr>
      <m:oMathPara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USD</m:t>
              </m:r>
            </m:sub>
          </m:sSub>
          <m:r>
            <m:t>=</m:t>
          </m:r>
          <m:d>
            <m:dPr>
              <m:begChr m:val="("/>
              <m:endChr m:val=")"/>
            </m:dPr>
            <m:e>
              <m:r>
                <m:t>1+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local</m:t>
                  </m:r>
                </m:sub>
              </m:sSub>
            </m:e>
          </m:d>
          <m:d>
            <m:dPr>
              <m:begChr m:val="("/>
              <m:endChr m:val=")"/>
            </m:dPr>
            <m:e>
              <m:r>
                <m:t>1+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FX</m:t>
                  </m:r>
                </m:sub>
              </m:sSub>
            </m:e>
          </m:d>
          <m:r>
            <m:t>−1</m:t>
          </m:r>
        </m:oMath>
      </m:oMathPara>
    </w:p>
    <w:p>
      <w:r>
        <w:t>Acceptance criteria for Step 1, to be confirmed by opening this document in Microsoft Word:</w:t>
      </w:r>
    </w:p>
    <w:p>
      <w:pPr>
        <w:pStyle w:val="ListBullet"/>
      </w:pPr>
      <w:r>
        <w:t>The inline equation in the paragraph above is recognised as a single equation object (a click selects the whole equation, not individual characters).</w:t>
      </w:r>
    </w:p>
    <w:p>
      <w:pPr>
        <w:pStyle w:val="ListBullet"/>
      </w:pPr>
      <w:r>
        <w:t>The display equation is centred on its own line and independently editable in Word's equation editor.</w:t>
      </w:r>
    </w:p>
    <w:p>
      <w:pPr>
        <w:pStyle w:val="ListBullet"/>
      </w:pPr>
      <w:r>
        <w:t>Letter symbols (the variable r) are italic; multi-character labels (USD, local, FX) are upright; numerals and operators render in standard math typography.</w:t>
      </w:r>
    </w:p>
    <w:p>
      <w:r>
        <w:t>Subsequent steps will (Step 2) pre-author the full equation library for the report, (Steps 3–5) build out the thirteen body sections, and (Step 6) add the table of contents, page numbers, and final polish.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