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Market Dashboard Auto</w:t>
      </w:r>
    </w:p>
    <w:p>
      <w:pPr>
        <w:jc w:val="center"/>
      </w:pPr>
      <w:r>
        <w:rPr>
          <w:sz w:val="28"/>
        </w:rPr>
        <w:t>Project Report — Data Pipeline &amp; Composite Indicator Layer</w:t>
      </w:r>
    </w:p>
    <w:p/>
    <w:p/>
    <w:p/>
    <w:p>
      <w:pPr>
        <w:jc w:val="center"/>
      </w:pPr>
      <w:r>
        <w:rPr>
          <w:i/>
          <w:sz w:val="22"/>
        </w:rPr>
        <w:t>Report dated 5 May 2026</w:t>
      </w:r>
    </w:p>
    <w:p>
      <w:r>
        <w:br w:type="page"/>
      </w:r>
    </w:p>
    <w:p>
      <w:r>
        <w:br w:type="page"/>
      </w:r>
    </w:p>
    <w:p>
      <w:pPr>
        <w:pStyle w:val="Heading1"/>
        <w:spacing w:before="0" w:after="160"/>
      </w:pPr>
      <w:r>
        <w:t>1.  Executive Summary</w:t>
      </w:r>
    </w:p>
    <w:p>
      <w:pPr>
        <w:spacing w:after="120"/>
      </w:pPr>
      <w:r>
        <w:rPr>
          <w:b w:val="0"/>
          <w:i w:val="0"/>
          <w:sz w:val="21"/>
        </w:rPr>
        <w:t>Market Dashboard Auto is a fully-automated, free-data macro-market intelligence pipeline that runs nightly on GitHub Actions and produces, for each trading day: a snapshot of approximately three hundred and ninety financial instruments across all major asset classes; weekly historical price series back to 1950; raw macro-economic data covering twelve economies and ten public-source providers back to 1947; and a derived layer of ninety-two composite indicators, each carrying a rolling z-score, a regime classification, a forward-regime signal, and a z-score trajectory diagnostic. Outputs land in Google Sheets, in version-controlled CSV files, and in an interactive HTML explorer. The pipeline has been operating in production since the consolidation of its multi-source coordinator in April 2026, and it is the substrate on which downstream analytical work — including regime-based asset allocation research — is being built.</w:t>
      </w:r>
    </w:p>
    <w:p>
      <w:pPr>
        <w:spacing w:after="120"/>
      </w:pPr>
      <w:r>
        <w:rPr>
          <w:b w:val="0"/>
          <w:i w:val="0"/>
          <w:sz w:val="21"/>
        </w:rPr>
        <w:t>The design centres on a single architectural rule: every identifier the pipeline fetches lives in a CSV registry rather than in Python code. This rule is enforced by an integrated daily audit covering fetch outcomes, schema drift across three history–library pairs, value-change staleness against per-frequency tolerances, and history preservation under retroactive source-side truncation. Operational scaffolding — a writeback step that retires dead tickers automatically after a fourteen-day streak, a perpetual GitHub Issue thread for the daily heartbeat, and an idempotent Sheets-tab cleanup mechanism — removes the operator from the daily loop entirely.</w:t>
      </w:r>
    </w:p>
    <w:p>
      <w:pPr>
        <w:spacing w:after="40"/>
      </w:pPr>
      <w:r>
        <w:rPr>
          <w:b/>
          <w:i w:val="0"/>
          <w:sz w:val="21"/>
        </w:rPr>
        <w:t>Key facts at a glance:</w:t>
      </w:r>
    </w:p>
    <w:tbl>
      <w:tblPr>
        <w:tblStyle w:val="TableGrid"/>
        <w:tblW w:type="auto" w:w="0"/>
        <w:tblLook w:firstColumn="1" w:firstRow="1" w:lastColumn="0" w:lastRow="0" w:noHBand="0" w:noVBand="1" w:val="04A0"/>
      </w:tblPr>
      <w:tblGrid>
        <w:gridCol w:w="4536"/>
        <w:gridCol w:w="4536"/>
      </w:tblGrid>
      <w:tr>
        <w:tc>
          <w:tcPr>
            <w:tcW w:type="dxa" w:w="3168"/>
            <w:shd w:val="clear" w:color="auto" w:fill="D9E2F3"/>
          </w:tcPr>
          <w:p>
            <w:pPr>
              <w:spacing w:before="40" w:after="40"/>
            </w:pPr>
            <w:r/>
            <w:r>
              <w:rPr>
                <w:b/>
                <w:sz w:val="19"/>
              </w:rPr>
              <w:t>Item</w:t>
            </w:r>
          </w:p>
        </w:tc>
        <w:tc>
          <w:tcPr>
            <w:tcW w:type="dxa" w:w="6192"/>
            <w:shd w:val="clear" w:color="auto" w:fill="D9E2F3"/>
          </w:tcPr>
          <w:p>
            <w:pPr>
              <w:spacing w:before="40" w:after="40"/>
            </w:pPr>
            <w:r/>
            <w:r>
              <w:rPr>
                <w:b/>
                <w:sz w:val="19"/>
              </w:rPr>
              <w:t>Value</w:t>
            </w:r>
          </w:p>
        </w:tc>
      </w:tr>
      <w:tr>
        <w:tc>
          <w:tcPr>
            <w:tcW w:type="dxa" w:w="3168"/>
          </w:tcPr>
          <w:p>
            <w:pPr>
              <w:spacing w:before="20" w:after="20"/>
            </w:pPr>
            <w:r/>
            <w:r>
              <w:rPr>
                <w:sz w:val="19"/>
              </w:rPr>
              <w:t>Instruments tracked</w:t>
            </w:r>
          </w:p>
        </w:tc>
        <w:tc>
          <w:tcPr>
            <w:tcW w:type="dxa" w:w="6192"/>
          </w:tcPr>
          <w:p>
            <w:pPr>
              <w:spacing w:before="20" w:after="20"/>
            </w:pPr>
            <w:r/>
            <w:r>
              <w:rPr>
                <w:sz w:val="19"/>
              </w:rPr>
              <w:t>~390 across 8 asset classes</w:t>
            </w:r>
          </w:p>
        </w:tc>
      </w:tr>
      <w:tr>
        <w:tc>
          <w:tcPr>
            <w:tcW w:type="dxa" w:w="3168"/>
          </w:tcPr>
          <w:p>
            <w:pPr>
              <w:spacing w:before="20" w:after="20"/>
            </w:pPr>
            <w:r/>
            <w:r>
              <w:rPr>
                <w:sz w:val="19"/>
              </w:rPr>
              <w:t>Macro series ingested</w:t>
            </w:r>
          </w:p>
        </w:tc>
        <w:tc>
          <w:tcPr>
            <w:tcW w:type="dxa" w:w="6192"/>
          </w:tcPr>
          <w:p>
            <w:pPr>
              <w:spacing w:before="20" w:after="20"/>
            </w:pPr>
            <w:r/>
            <w:r>
              <w:rPr>
                <w:sz w:val="19"/>
              </w:rPr>
              <w:t>~150 across 12 economies</w:t>
            </w:r>
          </w:p>
        </w:tc>
      </w:tr>
      <w:tr>
        <w:tc>
          <w:tcPr>
            <w:tcW w:type="dxa" w:w="3168"/>
          </w:tcPr>
          <w:p>
            <w:pPr>
              <w:spacing w:before="20" w:after="20"/>
            </w:pPr>
            <w:r/>
            <w:r>
              <w:rPr>
                <w:sz w:val="19"/>
              </w:rPr>
              <w:t>Composite indicators computed</w:t>
            </w:r>
          </w:p>
        </w:tc>
        <w:tc>
          <w:tcPr>
            <w:tcW w:type="dxa" w:w="6192"/>
          </w:tcPr>
          <w:p>
            <w:pPr>
              <w:spacing w:before="20" w:after="20"/>
            </w:pPr>
            <w:r/>
            <w:r>
              <w:rPr>
                <w:sz w:val="19"/>
              </w:rPr>
              <w:t>92 (90 Leading, 2 Coincident)</w:t>
            </w:r>
          </w:p>
        </w:tc>
      </w:tr>
      <w:tr>
        <w:tc>
          <w:tcPr>
            <w:tcW w:type="dxa" w:w="3168"/>
          </w:tcPr>
          <w:p>
            <w:pPr>
              <w:spacing w:before="20" w:after="20"/>
            </w:pPr>
            <w:r/>
            <w:r>
              <w:rPr>
                <w:sz w:val="19"/>
              </w:rPr>
              <w:t>Free public data sources</w:t>
            </w:r>
          </w:p>
        </w:tc>
        <w:tc>
          <w:tcPr>
            <w:tcW w:type="dxa" w:w="6192"/>
          </w:tcPr>
          <w:p>
            <w:pPr>
              <w:spacing w:before="20" w:after="20"/>
            </w:pPr>
            <w:r/>
            <w:r>
              <w:rPr>
                <w:sz w:val="19"/>
              </w:rPr>
              <w:t>10 (FRED, OECD, World Bank, IMF, DB.nomics, ifo, BoE, ECB, BoJ, e-Stat)</w:t>
            </w:r>
          </w:p>
        </w:tc>
      </w:tr>
      <w:tr>
        <w:tc>
          <w:tcPr>
            <w:tcW w:type="dxa" w:w="3168"/>
          </w:tcPr>
          <w:p>
            <w:pPr>
              <w:spacing w:before="20" w:after="20"/>
            </w:pPr>
            <w:r/>
            <w:r>
              <w:rPr>
                <w:sz w:val="19"/>
              </w:rPr>
              <w:t>Code base</w:t>
            </w:r>
          </w:p>
        </w:tc>
        <w:tc>
          <w:tcPr>
            <w:tcW w:type="dxa" w:w="6192"/>
          </w:tcPr>
          <w:p>
            <w:pPr>
              <w:spacing w:before="20" w:after="20"/>
            </w:pPr>
            <w:r/>
            <w:r>
              <w:rPr>
                <w:sz w:val="19"/>
              </w:rPr>
              <w:t>~9,400 lines of Python across 7 top-level modules + 12-module sources/ package</w:t>
            </w:r>
          </w:p>
        </w:tc>
      </w:tr>
      <w:tr>
        <w:tc>
          <w:tcPr>
            <w:tcW w:type="dxa" w:w="3168"/>
          </w:tcPr>
          <w:p>
            <w:pPr>
              <w:spacing w:before="20" w:after="20"/>
            </w:pPr>
            <w:r/>
            <w:r>
              <w:rPr>
                <w:sz w:val="19"/>
              </w:rPr>
              <w:t>Earliest historical data</w:t>
            </w:r>
          </w:p>
        </w:tc>
        <w:tc>
          <w:tcPr>
            <w:tcW w:type="dxa" w:w="6192"/>
          </w:tcPr>
          <w:p>
            <w:pPr>
              <w:spacing w:before="20" w:after="20"/>
            </w:pPr>
            <w:r/>
            <w:r>
              <w:rPr>
                <w:sz w:val="19"/>
              </w:rPr>
              <w:t>1947 (FRED), 1950 (yfinance), 1991 (ifo), 1955 (e-Stat)</w:t>
            </w:r>
          </w:p>
        </w:tc>
      </w:tr>
      <w:tr>
        <w:tc>
          <w:tcPr>
            <w:tcW w:type="dxa" w:w="3168"/>
          </w:tcPr>
          <w:p>
            <w:pPr>
              <w:spacing w:before="20" w:after="20"/>
            </w:pPr>
            <w:r/>
            <w:r>
              <w:rPr>
                <w:sz w:val="19"/>
              </w:rPr>
              <w:t>Daily run wall-clock</w:t>
            </w:r>
          </w:p>
        </w:tc>
        <w:tc>
          <w:tcPr>
            <w:tcW w:type="dxa" w:w="6192"/>
          </w:tcPr>
          <w:p>
            <w:pPr>
              <w:spacing w:before="20" w:after="20"/>
            </w:pPr>
            <w:r/>
            <w:r>
              <w:rPr>
                <w:sz w:val="19"/>
              </w:rPr>
              <w:t>12–15 minutes end-to-end</w:t>
            </w:r>
          </w:p>
        </w:tc>
      </w:tr>
      <w:tr>
        <w:tc>
          <w:tcPr>
            <w:tcW w:type="dxa" w:w="3168"/>
          </w:tcPr>
          <w:p>
            <w:pPr>
              <w:spacing w:before="20" w:after="20"/>
            </w:pPr>
            <w:r/>
            <w:r>
              <w:rPr>
                <w:sz w:val="19"/>
              </w:rPr>
              <w:t>Operational status</w:t>
            </w:r>
          </w:p>
        </w:tc>
        <w:tc>
          <w:tcPr>
            <w:tcW w:type="dxa" w:w="6192"/>
          </w:tcPr>
          <w:p>
            <w:pPr>
              <w:spacing w:before="20" w:after="20"/>
            </w:pPr>
            <w:r/>
            <w:r>
              <w:rPr>
                <w:sz w:val="19"/>
              </w:rPr>
              <w:t>Production, ~270 successful daily runs</w:t>
            </w:r>
          </w:p>
        </w:tc>
      </w:tr>
      <w:tr>
        <w:tc>
          <w:tcPr>
            <w:tcW w:type="dxa" w:w="3168"/>
          </w:tcPr>
          <w:p>
            <w:pPr>
              <w:spacing w:before="20" w:after="20"/>
            </w:pPr>
            <w:r/>
            <w:r>
              <w:rPr>
                <w:sz w:val="19"/>
              </w:rPr>
              <w:t>Operator burden</w:t>
            </w:r>
          </w:p>
        </w:tc>
        <w:tc>
          <w:tcPr>
            <w:tcW w:type="dxa" w:w="6192"/>
          </w:tcPr>
          <w:p>
            <w:pPr>
              <w:spacing w:before="20" w:after="20"/>
            </w:pPr>
            <w:r/>
            <w:r>
              <w:rPr>
                <w:sz w:val="19"/>
              </w:rPr>
              <w:t>Zero per-day; weekly review of GitHub Issue thread</w:t>
            </w:r>
          </w:p>
        </w:tc>
      </w:tr>
    </w:tbl>
    <w:p/>
    <w:p>
      <w:pPr>
        <w:spacing w:after="120"/>
      </w:pPr>
      <w:r>
        <w:rPr>
          <w:b w:val="0"/>
          <w:i w:val="0"/>
          <w:sz w:val="21"/>
        </w:rPr>
        <w:t>This report describes the system as it stands today. Section 2 frames the problem the project addresses and the constraints imposed by the free-data stance. Section 3 presents the end-to-end system in a single data-flow view. Sections 4 and 5 cover the data architecture and the design principles that make the system durable. Section 6 documents the composite-indicator methodology in detail, including six worked examples spanning the indicator families. Section 7 covers regime classification. Section 8 describes the operational scaffolding. Sections 9 and 10 cover the user-facing artefacts and the integration surface. Sections 11 to 13 record current coverage, accepted gaps, and the residual limitations the system must carry. The mathematical notation is consolidated in Appendix A; references are in Appendix B.</w:t>
      </w:r>
    </w:p>
    <w:p>
      <w:r>
        <w:br w:type="page"/>
      </w:r>
    </w:p>
    <w:p>
      <w:pPr>
        <w:pStyle w:val="Heading1"/>
        <w:spacing w:before="0" w:after="160"/>
      </w:pPr>
      <w:r>
        <w:t>2.  Problem Statement &amp; Motivation</w:t>
      </w:r>
    </w:p>
    <w:p>
      <w:pPr>
        <w:pStyle w:val="Heading2"/>
        <w:spacing w:before="200" w:after="40"/>
      </w:pPr>
      <w:r>
        <w:t>2.1  The macro-market analyst's daily problem</w:t>
      </w:r>
    </w:p>
    <w:p>
      <w:pPr>
        <w:spacing w:after="120"/>
      </w:pPr>
      <w:r>
        <w:rPr>
          <w:b w:val="0"/>
          <w:i w:val="0"/>
          <w:sz w:val="21"/>
        </w:rPr>
        <w:t>Interpretation of current market conditions requires consolidated, cross-asset, cross-region context. A practitioner must be able to see, in a single workspace, where equity rotation is pointing, what the credit complex is signalling, whether the yield curve agrees, how volatility regimes are evolving, what the major macro-economic releases are saying, and whether the supporting evidence is strengthening or weakening. Commercial platforms — Bloomberg, FactSet, Refinitiv — assemble this picture at a professional-licence cost typically in the range of twenty to thirty thousand pounds sterling per seat per annum. For an individual practitioner or a small research team, that cost is prohibitive.</w:t>
      </w:r>
    </w:p>
    <w:p>
      <w:pPr>
        <w:spacing w:after="120"/>
      </w:pPr>
      <w:r>
        <w:rPr>
          <w:b w:val="0"/>
          <w:i w:val="0"/>
          <w:sz w:val="21"/>
        </w:rPr>
        <w:t>The free-data alternative is fragmented. Each major statistical agency publishes data through its own API, with its own schema, rate-limit profile, error semantics, and cadence. The Federal Reserve's FRED service is rich and well-engineered but covers only United States macro statistics in depth. The OECD's SDMX interface offers cross-country coverage at the cost of a verbose query convention and tight rate limits. The Bank of Japan, the Bank of England, the European Central Bank, the Statistics Bureau of Japan, the ifo Institute and DB.nomics each speak different dialects again. yfinance, the de facto free price feed for non-commercial users, has its own pattern of brittle behaviour around delisted instruments, regional exchanges, and currency conventions. None of these sources is individually sufficient; together, they require careful integration to be reliable.</w:t>
      </w:r>
    </w:p>
    <w:p>
      <w:pPr>
        <w:pStyle w:val="Heading2"/>
        <w:spacing w:before="200" w:after="40"/>
      </w:pPr>
      <w:r>
        <w:t>2.2  Constraints</w:t>
      </w:r>
    </w:p>
    <w:p>
      <w:pPr>
        <w:spacing w:after="120"/>
      </w:pPr>
      <w:r>
        <w:rPr>
          <w:b w:val="0"/>
          <w:i w:val="0"/>
          <w:sz w:val="21"/>
        </w:rPr>
        <w:t>Three constraints follow from the practitioner setting and have shaped every subsequent design decision:</w:t>
      </w:r>
    </w:p>
    <w:p>
      <w:pPr>
        <w:pStyle w:val="ListBullet"/>
      </w:pPr>
      <w:r>
        <w:rPr>
          <w:sz w:val="21"/>
        </w:rPr>
        <w:t>Free, openly accessible sources only. The pipeline accepts no paid feed and no scraped, terms-of-service-violating route. Where a desired indicator is available only behind a paywall — Caixin China Manufacturing PMI, S&amp;P Global PMI series, ICE corporate bond indices in their full historical depth — that indicator is either replaced with a free proxy or recorded as an accepted gap.</w:t>
      </w:r>
    </w:p>
    <w:p>
      <w:pPr>
        <w:pStyle w:val="ListBullet"/>
      </w:pPr>
      <w:r>
        <w:rPr>
          <w:sz w:val="21"/>
        </w:rPr>
        <w:t>Daily refresh discipline without operator intervention. The pipeline must execute every day, recover from transient errors automatically, surface persistent errors through a non-blocking channel, and continue producing partial output even when an individual phase fails. The operator must not be required to log in to keep the pipeline alive.</w:t>
      </w:r>
    </w:p>
    <w:p>
      <w:pPr>
        <w:pStyle w:val="ListBullet"/>
      </w:pPr>
      <w:r>
        <w:rPr>
          <w:sz w:val="21"/>
        </w:rPr>
        <w:t>Multi-source ingestion under a single architectural discipline. Without enforced uniformity across sources, the integration cost of each new provider rises rather than falls. This is the design pressure that produced the registry-first architecture documented in Section 4.</w:t>
      </w:r>
    </w:p>
    <w:p>
      <w:pPr>
        <w:pStyle w:val="Heading2"/>
        <w:spacing w:before="200" w:after="40"/>
      </w:pPr>
      <w:r>
        <w:t>2.3  Resolution approach</w:t>
      </w:r>
    </w:p>
    <w:p>
      <w:pPr>
        <w:spacing w:after="120"/>
      </w:pPr>
      <w:r>
        <w:rPr>
          <w:b w:val="0"/>
          <w:i w:val="0"/>
          <w:sz w:val="21"/>
        </w:rPr>
        <w:t>The free-source constraint is honoured by enumeration: every fetched identifier is registered in one of the source-of-truth CSV files in the data/ directory, and that registry is the only mechanism by which a new series enters the pipeline. Any reaching for a string literal in Python code that resembles a fetched identifier is, by adopted rule, prohibited. The rule originated in response to two avoidable refactors caused by exactly that drift; it is now enforced both socially (a pre-commit checklist for collaborators) and technically (the daily audit's static-checks section flags any column in a history file that does not trace to a registry row).</w:t>
      </w:r>
    </w:p>
    <w:p>
      <w:pPr>
        <w:spacing w:after="120"/>
      </w:pPr>
      <w:r>
        <w:rPr>
          <w:b w:val="0"/>
          <w:i w:val="0"/>
          <w:sz w:val="21"/>
        </w:rPr>
        <w:t>Reliability under daily operation is achieved through phase isolation and per-series error containment. Each runtime phase is wrapped in a module-level exception handler such that a failure in any later phase cannot affect outputs already written by earlier phases. Inside each phase, every individual ticker, series, or indicator computation is similarly wrapped — a single bad observation never propagates to the rest of the output. These two patterns, layered, make partial success the default behaviour and full failure the exception.</w:t>
      </w:r>
    </w:p>
    <w:p>
      <w:pPr>
        <w:spacing w:after="120"/>
      </w:pPr>
      <w:r>
        <w:rPr>
          <w:b w:val="0"/>
          <w:i w:val="0"/>
          <w:sz w:val="21"/>
        </w:rPr>
        <w:t>Operator removal is achieved through GitHub Actions for the execution channel, automatic Git commit-and-push of the outputs for the persistence channel, and a perpetual GitHub Issue thread for the notification channel. Every daily run posts a single Markdown comment to the same issue, with the first line summarising the result as either ALL CLEAN or as a count of issues. GitHub's native notification mechanism delivers this to the operator's email; no SMTP infrastructure is required.</w:t>
      </w:r>
    </w:p>
    <w:p>
      <w:pPr>
        <w:pStyle w:val="Heading2"/>
        <w:spacing w:before="200" w:after="40"/>
      </w:pPr>
      <w:r>
        <w:t>2.4  Scope</w:t>
      </w:r>
    </w:p>
    <w:p>
      <w:pPr>
        <w:spacing w:after="120"/>
      </w:pPr>
      <w:r>
        <w:rPr>
          <w:b w:val="0"/>
          <w:i w:val="0"/>
          <w:sz w:val="21"/>
        </w:rPr>
        <w:t>Within scope are: (a) ingestion and curation of the data layer, (b) computation of the composite-indicator layer including z-score, regime, forward-regime, and trajectory semantics, (c) the operational scaffolding required for daily reliability, and (d) the user-facing presentation layer (Google Sheets tabs and the interactive HTML explorer). Out of scope at this stage are alpha generation or signal-following execution, individual-stock research below the index level, and any analysis requiring intra-day cadence. Forward-looking analytical work — including regime-based asset allocation, back-testing, and portfolio construction — is built on top of this substrate but is not the subject of this report.</w:t>
      </w:r>
    </w:p>
    <w:p>
      <w:r>
        <w:br w:type="page"/>
      </w:r>
    </w:p>
    <w:p>
      <w:pPr>
        <w:pStyle w:val="Heading1"/>
        <w:spacing w:before="0" w:after="160"/>
      </w:pPr>
      <w:r>
        <w:t>3.  System Overview</w:t>
      </w:r>
    </w:p>
    <w:p>
      <w:pPr>
        <w:spacing w:after="120"/>
      </w:pPr>
      <w:r>
        <w:rPr>
          <w:b w:val="0"/>
          <w:i w:val="0"/>
          <w:sz w:val="21"/>
        </w:rPr>
        <w:t>The pipeline is a single waterfall executed once per day. A GitHub Actions cron job at 00:34 UTC invokes the master orchestrator, which in turn chains in the historical, macro-economic, composite-indicator, and explorer-rebuild phases. After the data phases complete, an integrated audit runs and a writeback step adjusts the instrument library based on persistent dead-ticker streaks. Every step's output is committed back to the repository. The end-to-end wall-clock runtime is between twelve and fifteen minutes.</w:t>
      </w:r>
    </w:p>
    <w:p>
      <w:pPr>
        <w:pStyle w:val="Heading2"/>
        <w:spacing w:before="200" w:after="40"/>
      </w:pPr>
      <w:r>
        <w:t>3.1  Daily execution flow</w:t>
      </w:r>
    </w:p>
    <w:p>
      <w:pPr>
        <w:spacing w:after="120"/>
      </w:pPr>
      <w:r>
        <w:rPr>
          <w:b w:val="0"/>
          <w:i w:val="0"/>
          <w:sz w:val="21"/>
        </w:rPr>
        <w:t>The diagram below is the full daily flow. Each stage's exception handler ensures that downstream failures cannot reach back to corrupt the outputs of earlier stages.</w:t>
      </w:r>
    </w:p>
    <w:tbl>
      <w:tblPr>
        <w:tblW w:type="auto" w:w="0"/>
        <w:jc w:val="center"/>
        <w:tblLook w:firstColumn="1" w:firstRow="1" w:lastColumn="0" w:lastRow="0" w:noHBand="0" w:noVBand="1" w:val="04A0"/>
      </w:tblPr>
      <w:tblGrid>
        <w:gridCol w:w="9072"/>
      </w:tblGrid>
      <w:tr>
        <w:tc>
          <w:tcPr>
            <w:tcW w:type="dxa" w:w="9072"/>
            <w:shd w:val="clear" w:color="auto" w:fill="EAF1FB"/>
          </w:tcPr>
          <w:p>
            <w:pPr>
              <w:spacing w:before="60" w:after="60"/>
              <w:jc w:val="center"/>
            </w:pPr>
            <w:r/>
            <w:r>
              <w:rPr>
                <w:b/>
                <w:sz w:val="19"/>
              </w:rPr>
              <w:t>GitHub Actions cron — 00:34 UTC</w:t>
            </w:r>
          </w:p>
        </w:tc>
      </w:tr>
      <w:tr>
        <w:tc>
          <w:tcPr>
            <w:tcW w:type="dxa" w:w="9072"/>
            <w:tcBorders>
              <w:top w:val="nil"/>
              <w:left w:val="nil"/>
              <w:bottom w:val="nil"/>
              <w:right w:val="nil"/>
            </w:tcBorders>
          </w:tcPr>
          <w:p>
            <w:pPr>
              <w:spacing w:before="0" w:after="0"/>
              <w:jc w:val="center"/>
            </w:pPr>
            <w:r/>
            <w:r>
              <w:rPr>
                <w:sz w:val="20"/>
              </w:rPr>
              <w:t>▼</w:t>
            </w:r>
          </w:p>
        </w:tc>
      </w:tr>
      <w:tr>
        <w:tc>
          <w:tcPr>
            <w:tcW w:type="dxa" w:w="9072"/>
            <w:shd w:val="clear" w:color="auto" w:fill="EAF1FB"/>
          </w:tcPr>
          <w:p>
            <w:pPr>
              <w:spacing w:before="60" w:after="60"/>
              <w:jc w:val="center"/>
            </w:pPr>
            <w:r/>
            <w:r>
              <w:rPr>
                <w:b/>
                <w:sz w:val="19"/>
              </w:rPr>
              <w:t>fetch_data.py  •  Simple + Comp pipelines</w:t>
            </w:r>
          </w:p>
        </w:tc>
      </w:tr>
      <w:tr>
        <w:tc>
          <w:tcPr>
            <w:tcW w:type="dxa" w:w="9072"/>
            <w:tcBorders>
              <w:top w:val="nil"/>
              <w:left w:val="nil"/>
              <w:bottom w:val="nil"/>
              <w:right w:val="nil"/>
            </w:tcBorders>
          </w:tcPr>
          <w:p>
            <w:pPr>
              <w:spacing w:before="0" w:after="0"/>
              <w:jc w:val="center"/>
            </w:pPr>
            <w:r/>
            <w:r>
              <w:rPr>
                <w:sz w:val="20"/>
              </w:rPr>
              <w:t>▼</w:t>
            </w:r>
          </w:p>
        </w:tc>
      </w:tr>
      <w:tr>
        <w:tc>
          <w:tcPr>
            <w:tcW w:type="dxa" w:w="9072"/>
            <w:shd w:val="clear" w:color="auto" w:fill="EAF1FB"/>
          </w:tcPr>
          <w:p>
            <w:pPr>
              <w:spacing w:before="60" w:after="60"/>
              <w:jc w:val="center"/>
            </w:pPr>
            <w:r/>
            <w:r>
              <w:rPr>
                <w:b/>
                <w:sz w:val="19"/>
              </w:rPr>
              <w:t>fetch_hist.py  •  Comp weekly history (1950→)</w:t>
            </w:r>
          </w:p>
        </w:tc>
      </w:tr>
      <w:tr>
        <w:tc>
          <w:tcPr>
            <w:tcW w:type="dxa" w:w="9072"/>
            <w:tcBorders>
              <w:top w:val="nil"/>
              <w:left w:val="nil"/>
              <w:bottom w:val="nil"/>
              <w:right w:val="nil"/>
            </w:tcBorders>
          </w:tcPr>
          <w:p>
            <w:pPr>
              <w:spacing w:before="0" w:after="0"/>
              <w:jc w:val="center"/>
            </w:pPr>
            <w:r/>
            <w:r>
              <w:rPr>
                <w:sz w:val="20"/>
              </w:rPr>
              <w:t>▼</w:t>
            </w:r>
          </w:p>
        </w:tc>
      </w:tr>
      <w:tr>
        <w:tc>
          <w:tcPr>
            <w:tcW w:type="dxa" w:w="9072"/>
            <w:shd w:val="clear" w:color="auto" w:fill="EAF1FB"/>
          </w:tcPr>
          <w:p>
            <w:pPr>
              <w:spacing w:before="60" w:after="60"/>
              <w:jc w:val="center"/>
            </w:pPr>
            <w:r/>
            <w:r>
              <w:rPr>
                <w:b/>
                <w:sz w:val="19"/>
              </w:rPr>
              <w:t>fetch_macro_economic.py  •  Phase ME (10-source unified registry)</w:t>
            </w:r>
          </w:p>
        </w:tc>
      </w:tr>
      <w:tr>
        <w:tc>
          <w:tcPr>
            <w:tcW w:type="dxa" w:w="9072"/>
            <w:tcBorders>
              <w:top w:val="nil"/>
              <w:left w:val="nil"/>
              <w:bottom w:val="nil"/>
              <w:right w:val="nil"/>
            </w:tcBorders>
          </w:tcPr>
          <w:p>
            <w:pPr>
              <w:spacing w:before="0" w:after="0"/>
              <w:jc w:val="center"/>
            </w:pPr>
            <w:r/>
            <w:r>
              <w:rPr>
                <w:sz w:val="20"/>
              </w:rPr>
              <w:t>▼</w:t>
            </w:r>
          </w:p>
        </w:tc>
      </w:tr>
      <w:tr>
        <w:tc>
          <w:tcPr>
            <w:tcW w:type="dxa" w:w="9072"/>
            <w:shd w:val="clear" w:color="auto" w:fill="EAF1FB"/>
          </w:tcPr>
          <w:p>
            <w:pPr>
              <w:spacing w:before="60" w:after="60"/>
              <w:jc w:val="center"/>
            </w:pPr>
            <w:r/>
            <w:r>
              <w:rPr>
                <w:b/>
                <w:sz w:val="19"/>
              </w:rPr>
              <w:t>compute_macro_market.py  •  Phase E (92 composite indicators)</w:t>
            </w:r>
          </w:p>
        </w:tc>
      </w:tr>
      <w:tr>
        <w:tc>
          <w:tcPr>
            <w:tcW w:type="dxa" w:w="9072"/>
            <w:tcBorders>
              <w:top w:val="nil"/>
              <w:left w:val="nil"/>
              <w:bottom w:val="nil"/>
              <w:right w:val="nil"/>
            </w:tcBorders>
          </w:tcPr>
          <w:p>
            <w:pPr>
              <w:spacing w:before="0" w:after="0"/>
              <w:jc w:val="center"/>
            </w:pPr>
            <w:r/>
            <w:r>
              <w:rPr>
                <w:sz w:val="20"/>
              </w:rPr>
              <w:t>▼</w:t>
            </w:r>
          </w:p>
        </w:tc>
      </w:tr>
      <w:tr>
        <w:tc>
          <w:tcPr>
            <w:tcW w:type="dxa" w:w="9072"/>
            <w:shd w:val="clear" w:color="auto" w:fill="EAF1FB"/>
          </w:tcPr>
          <w:p>
            <w:pPr>
              <w:spacing w:before="60" w:after="60"/>
              <w:jc w:val="center"/>
            </w:pPr>
            <w:r/>
            <w:r>
              <w:rPr>
                <w:b/>
                <w:sz w:val="19"/>
              </w:rPr>
              <w:t>docs/build_html.py  •  Indicator Explorer rebuild</w:t>
            </w:r>
          </w:p>
        </w:tc>
      </w:tr>
      <w:tr>
        <w:tc>
          <w:tcPr>
            <w:tcW w:type="dxa" w:w="9072"/>
            <w:tcBorders>
              <w:top w:val="nil"/>
              <w:left w:val="nil"/>
              <w:bottom w:val="nil"/>
              <w:right w:val="nil"/>
            </w:tcBorders>
          </w:tcPr>
          <w:p>
            <w:pPr>
              <w:spacing w:before="0" w:after="0"/>
              <w:jc w:val="center"/>
            </w:pPr>
            <w:r/>
            <w:r>
              <w:rPr>
                <w:sz w:val="20"/>
              </w:rPr>
              <w:t>▼</w:t>
            </w:r>
          </w:p>
        </w:tc>
      </w:tr>
      <w:tr>
        <w:tc>
          <w:tcPr>
            <w:tcW w:type="dxa" w:w="9072"/>
            <w:shd w:val="clear" w:color="auto" w:fill="EAF1FB"/>
          </w:tcPr>
          <w:p>
            <w:pPr>
              <w:spacing w:before="60" w:after="60"/>
              <w:jc w:val="center"/>
            </w:pPr>
            <w:r/>
            <w:r>
              <w:rPr>
                <w:b/>
                <w:sz w:val="19"/>
              </w:rPr>
              <w:t>data_audit.py  •  Daily integrated audit (4 sections)</w:t>
            </w:r>
          </w:p>
        </w:tc>
      </w:tr>
      <w:tr>
        <w:tc>
          <w:tcPr>
            <w:tcW w:type="dxa" w:w="9072"/>
            <w:tcBorders>
              <w:top w:val="nil"/>
              <w:left w:val="nil"/>
              <w:bottom w:val="nil"/>
              <w:right w:val="nil"/>
            </w:tcBorders>
          </w:tcPr>
          <w:p>
            <w:pPr>
              <w:spacing w:before="0" w:after="0"/>
              <w:jc w:val="center"/>
            </w:pPr>
            <w:r/>
            <w:r>
              <w:rPr>
                <w:sz w:val="20"/>
              </w:rPr>
              <w:t>▼</w:t>
            </w:r>
          </w:p>
        </w:tc>
      </w:tr>
      <w:tr>
        <w:tc>
          <w:tcPr>
            <w:tcW w:type="dxa" w:w="9072"/>
            <w:shd w:val="clear" w:color="auto" w:fill="EAF1FB"/>
          </w:tcPr>
          <w:p>
            <w:pPr>
              <w:spacing w:before="60" w:after="60"/>
              <w:jc w:val="center"/>
            </w:pPr>
            <w:r/>
            <w:r>
              <w:rPr>
                <w:b/>
                <w:sz w:val="19"/>
              </w:rPr>
              <w:t>audit_writeback.py  •  Library writeback (dead-ticker streaks)</w:t>
            </w:r>
          </w:p>
        </w:tc>
      </w:tr>
      <w:tr>
        <w:tc>
          <w:tcPr>
            <w:tcW w:type="dxa" w:w="9072"/>
            <w:tcBorders>
              <w:top w:val="nil"/>
              <w:left w:val="nil"/>
              <w:bottom w:val="nil"/>
              <w:right w:val="nil"/>
            </w:tcBorders>
          </w:tcPr>
          <w:p>
            <w:pPr>
              <w:spacing w:before="0" w:after="0"/>
              <w:jc w:val="center"/>
            </w:pPr>
            <w:r/>
            <w:r>
              <w:rPr>
                <w:sz w:val="20"/>
              </w:rPr>
              <w:t>▼</w:t>
            </w:r>
          </w:p>
        </w:tc>
      </w:tr>
      <w:tr>
        <w:tc>
          <w:tcPr>
            <w:tcW w:type="dxa" w:w="9072"/>
            <w:shd w:val="clear" w:color="auto" w:fill="EAF1FB"/>
          </w:tcPr>
          <w:p>
            <w:pPr>
              <w:spacing w:before="60" w:after="60"/>
              <w:jc w:val="center"/>
            </w:pPr>
            <w:r/>
            <w:r>
              <w:rPr>
                <w:b/>
                <w:sz w:val="19"/>
              </w:rPr>
              <w:t>git commit + push  •  Sheets push  •  GitHub Issue comment</w:t>
            </w:r>
          </w:p>
        </w:tc>
      </w:tr>
    </w:tbl>
    <w:p/>
    <w:p>
      <w:pPr>
        <w:pStyle w:val="Heading2"/>
        <w:spacing w:before="200" w:after="40"/>
      </w:pPr>
      <w:r>
        <w:t>3.2  Runtime phases</w:t>
      </w:r>
    </w:p>
    <w:p>
      <w:pPr>
        <w:spacing w:after="120"/>
      </w:pPr>
      <w:r>
        <w:rPr>
          <w:b w:val="0"/>
          <w:i w:val="0"/>
          <w:sz w:val="21"/>
        </w:rPr>
        <w:t>The phase nomenclature reflects the chronological order in which the project was built rather than the runtime order. Phases A, B, C and D — the per-source US-FRED, surveys, international, and business-survey coordinators respectively — were consolidated into a single Phase ME (Macro-Economic) coordinator on 23 April 2026; their tabs are now retired and are swept from the Google Sheets workspace on every run. The current phase inventory is:</w:t>
      </w:r>
    </w:p>
    <w:tbl>
      <w:tblPr>
        <w:tblStyle w:val="TableGrid"/>
        <w:tblW w:type="auto" w:w="0"/>
        <w:tblLook w:firstColumn="1" w:firstRow="1" w:lastColumn="0" w:lastRow="0" w:noHBand="0" w:noVBand="1" w:val="04A0"/>
      </w:tblPr>
      <w:tblGrid>
        <w:gridCol w:w="2268"/>
        <w:gridCol w:w="2268"/>
        <w:gridCol w:w="2268"/>
        <w:gridCol w:w="2268"/>
      </w:tblGrid>
      <w:tr>
        <w:tc>
          <w:tcPr>
            <w:tcW w:type="dxa" w:w="2448"/>
            <w:shd w:val="clear" w:color="auto" w:fill="D9E2F3"/>
          </w:tcPr>
          <w:p>
            <w:pPr>
              <w:spacing w:before="40" w:after="40"/>
            </w:pPr>
            <w:r/>
            <w:r>
              <w:rPr>
                <w:b/>
                <w:sz w:val="19"/>
              </w:rPr>
              <w:t>Phase</w:t>
            </w:r>
          </w:p>
        </w:tc>
        <w:tc>
          <w:tcPr>
            <w:tcW w:type="dxa" w:w="2880"/>
            <w:shd w:val="clear" w:color="auto" w:fill="D9E2F3"/>
          </w:tcPr>
          <w:p>
            <w:pPr>
              <w:spacing w:before="40" w:after="40"/>
            </w:pPr>
            <w:r/>
            <w:r>
              <w:rPr>
                <w:b/>
                <w:sz w:val="19"/>
              </w:rPr>
              <w:t>Module(s)</w:t>
            </w:r>
          </w:p>
        </w:tc>
        <w:tc>
          <w:tcPr>
            <w:tcW w:type="dxa" w:w="2592"/>
            <w:shd w:val="clear" w:color="auto" w:fill="D9E2F3"/>
          </w:tcPr>
          <w:p>
            <w:pPr>
              <w:spacing w:before="40" w:after="40"/>
            </w:pPr>
            <w:r/>
            <w:r>
              <w:rPr>
                <w:b/>
                <w:sz w:val="19"/>
              </w:rPr>
              <w:t>Output tabs / artefacts</w:t>
            </w:r>
          </w:p>
        </w:tc>
        <w:tc>
          <w:tcPr>
            <w:tcW w:type="dxa" w:w="1440"/>
            <w:shd w:val="clear" w:color="auto" w:fill="D9E2F3"/>
          </w:tcPr>
          <w:p>
            <w:pPr>
              <w:spacing w:before="40" w:after="40"/>
            </w:pPr>
            <w:r/>
            <w:r>
              <w:rPr>
                <w:b/>
                <w:sz w:val="19"/>
              </w:rPr>
              <w:t>Status</w:t>
            </w:r>
          </w:p>
        </w:tc>
      </w:tr>
      <w:tr>
        <w:tc>
          <w:tcPr>
            <w:tcW w:type="dxa" w:w="2448"/>
          </w:tcPr>
          <w:p>
            <w:pPr>
              <w:spacing w:before="20" w:after="20"/>
            </w:pPr>
            <w:r/>
            <w:r>
              <w:rPr>
                <w:sz w:val="19"/>
              </w:rPr>
              <w:t>Simple Pipeline</w:t>
            </w:r>
          </w:p>
        </w:tc>
        <w:tc>
          <w:tcPr>
            <w:tcW w:type="dxa" w:w="2880"/>
          </w:tcPr>
          <w:p>
            <w:pPr>
              <w:spacing w:before="20" w:after="20"/>
            </w:pPr>
            <w:r/>
            <w:r>
              <w:rPr>
                <w:sz w:val="19"/>
              </w:rPr>
              <w:t>fetch_data.py</w:t>
            </w:r>
          </w:p>
        </w:tc>
        <w:tc>
          <w:tcPr>
            <w:tcW w:type="dxa" w:w="2592"/>
          </w:tcPr>
          <w:p>
            <w:pPr>
              <w:spacing w:before="20" w:after="20"/>
            </w:pPr>
            <w:r/>
            <w:r>
              <w:rPr>
                <w:sz w:val="19"/>
              </w:rPr>
              <w:t>market_data, sentiment_data</w:t>
            </w:r>
          </w:p>
        </w:tc>
        <w:tc>
          <w:tcPr>
            <w:tcW w:type="dxa" w:w="1440"/>
          </w:tcPr>
          <w:p>
            <w:pPr>
              <w:spacing w:before="20" w:after="20"/>
            </w:pPr>
            <w:r/>
            <w:r>
              <w:rPr>
                <w:sz w:val="19"/>
              </w:rPr>
              <w:t>Production (frozen)</w:t>
            </w:r>
          </w:p>
        </w:tc>
      </w:tr>
      <w:tr>
        <w:tc>
          <w:tcPr>
            <w:tcW w:type="dxa" w:w="2448"/>
          </w:tcPr>
          <w:p>
            <w:pPr>
              <w:spacing w:before="20" w:after="20"/>
            </w:pPr>
            <w:r/>
            <w:r>
              <w:rPr>
                <w:sz w:val="19"/>
              </w:rPr>
              <w:t>Comp Pipeline</w:t>
            </w:r>
          </w:p>
        </w:tc>
        <w:tc>
          <w:tcPr>
            <w:tcW w:type="dxa" w:w="2880"/>
          </w:tcPr>
          <w:p>
            <w:pPr>
              <w:spacing w:before="20" w:after="20"/>
            </w:pPr>
            <w:r/>
            <w:r>
              <w:rPr>
                <w:sz w:val="19"/>
              </w:rPr>
              <w:t>fetch_data.py + fetch_hist.py</w:t>
            </w:r>
          </w:p>
        </w:tc>
        <w:tc>
          <w:tcPr>
            <w:tcW w:type="dxa" w:w="2592"/>
          </w:tcPr>
          <w:p>
            <w:pPr>
              <w:spacing w:before="20" w:after="20"/>
            </w:pPr>
            <w:r/>
            <w:r>
              <w:rPr>
                <w:sz w:val="19"/>
              </w:rPr>
              <w:t>market_data_comp, market_data_comp_hist</w:t>
            </w:r>
          </w:p>
        </w:tc>
        <w:tc>
          <w:tcPr>
            <w:tcW w:type="dxa" w:w="1440"/>
          </w:tcPr>
          <w:p>
            <w:pPr>
              <w:spacing w:before="20" w:after="20"/>
            </w:pPr>
            <w:r/>
            <w:r>
              <w:rPr>
                <w:sz w:val="19"/>
              </w:rPr>
              <w:t>Production</w:t>
            </w:r>
          </w:p>
        </w:tc>
      </w:tr>
      <w:tr>
        <w:tc>
          <w:tcPr>
            <w:tcW w:type="dxa" w:w="2448"/>
          </w:tcPr>
          <w:p>
            <w:pPr>
              <w:spacing w:before="20" w:after="20"/>
            </w:pPr>
            <w:r/>
            <w:r>
              <w:rPr>
                <w:sz w:val="19"/>
              </w:rPr>
              <w:t>Phase ME — Macro-Economic</w:t>
            </w:r>
          </w:p>
        </w:tc>
        <w:tc>
          <w:tcPr>
            <w:tcW w:type="dxa" w:w="2880"/>
          </w:tcPr>
          <w:p>
            <w:pPr>
              <w:spacing w:before="20" w:after="20"/>
            </w:pPr>
            <w:r/>
            <w:r>
              <w:rPr>
                <w:sz w:val="19"/>
              </w:rPr>
              <w:t>fetch_macro_economic.py + sources/*.py</w:t>
            </w:r>
          </w:p>
        </w:tc>
        <w:tc>
          <w:tcPr>
            <w:tcW w:type="dxa" w:w="2592"/>
          </w:tcPr>
          <w:p>
            <w:pPr>
              <w:spacing w:before="20" w:after="20"/>
            </w:pPr>
            <w:r/>
            <w:r>
              <w:rPr>
                <w:sz w:val="19"/>
              </w:rPr>
              <w:t>macro_economic, macro_economic_hist</w:t>
            </w:r>
          </w:p>
        </w:tc>
        <w:tc>
          <w:tcPr>
            <w:tcW w:type="dxa" w:w="1440"/>
          </w:tcPr>
          <w:p>
            <w:pPr>
              <w:spacing w:before="20" w:after="20"/>
            </w:pPr>
            <w:r/>
            <w:r>
              <w:rPr>
                <w:sz w:val="19"/>
              </w:rPr>
              <w:t>Production</w:t>
            </w:r>
          </w:p>
        </w:tc>
      </w:tr>
      <w:tr>
        <w:tc>
          <w:tcPr>
            <w:tcW w:type="dxa" w:w="2448"/>
          </w:tcPr>
          <w:p>
            <w:pPr>
              <w:spacing w:before="20" w:after="20"/>
            </w:pPr>
            <w:r/>
            <w:r>
              <w:rPr>
                <w:sz w:val="19"/>
              </w:rPr>
              <w:t>Phase E — Macro-Market Indicators</w:t>
            </w:r>
          </w:p>
        </w:tc>
        <w:tc>
          <w:tcPr>
            <w:tcW w:type="dxa" w:w="2880"/>
          </w:tcPr>
          <w:p>
            <w:pPr>
              <w:spacing w:before="20" w:after="20"/>
            </w:pPr>
            <w:r/>
            <w:r>
              <w:rPr>
                <w:sz w:val="19"/>
              </w:rPr>
              <w:t>compute_macro_market.py</w:t>
            </w:r>
          </w:p>
        </w:tc>
        <w:tc>
          <w:tcPr>
            <w:tcW w:type="dxa" w:w="2592"/>
          </w:tcPr>
          <w:p>
            <w:pPr>
              <w:spacing w:before="20" w:after="20"/>
            </w:pPr>
            <w:r/>
            <w:r>
              <w:rPr>
                <w:sz w:val="19"/>
              </w:rPr>
              <w:t>macro_market, macro_market_hist</w:t>
            </w:r>
          </w:p>
        </w:tc>
        <w:tc>
          <w:tcPr>
            <w:tcW w:type="dxa" w:w="1440"/>
          </w:tcPr>
          <w:p>
            <w:pPr>
              <w:spacing w:before="20" w:after="20"/>
            </w:pPr>
            <w:r/>
            <w:r>
              <w:rPr>
                <w:sz w:val="19"/>
              </w:rPr>
              <w:t>Production</w:t>
            </w:r>
          </w:p>
        </w:tc>
      </w:tr>
      <w:tr>
        <w:tc>
          <w:tcPr>
            <w:tcW w:type="dxa" w:w="2448"/>
          </w:tcPr>
          <w:p>
            <w:pPr>
              <w:spacing w:before="20" w:after="20"/>
            </w:pPr>
            <w:r/>
            <w:r>
              <w:rPr>
                <w:sz w:val="19"/>
              </w:rPr>
              <w:t>Phase F — Calculated Fields</w:t>
            </w:r>
          </w:p>
        </w:tc>
        <w:tc>
          <w:tcPr>
            <w:tcW w:type="dxa" w:w="2880"/>
          </w:tcPr>
          <w:p>
            <w:pPr>
              <w:spacing w:before="20" w:after="20"/>
            </w:pPr>
            <w:r/>
            <w:r>
              <w:rPr>
                <w:sz w:val="19"/>
              </w:rPr>
              <w:t>absorbed into compute_macro_market.py</w:t>
            </w:r>
          </w:p>
        </w:tc>
        <w:tc>
          <w:tcPr>
            <w:tcW w:type="dxa" w:w="2592"/>
          </w:tcPr>
          <w:p>
            <w:pPr>
              <w:spacing w:before="20" w:after="20"/>
            </w:pPr>
            <w:r/>
            <w:r>
              <w:rPr>
                <w:sz w:val="19"/>
              </w:rPr>
              <w:t>(see Phase E outputs)</w:t>
            </w:r>
          </w:p>
        </w:tc>
        <w:tc>
          <w:tcPr>
            <w:tcW w:type="dxa" w:w="1440"/>
          </w:tcPr>
          <w:p>
            <w:pPr>
              <w:spacing w:before="20" w:after="20"/>
            </w:pPr>
            <w:r/>
            <w:r>
              <w:rPr>
                <w:sz w:val="19"/>
              </w:rPr>
              <w:t>Mostly absorbed</w:t>
            </w:r>
          </w:p>
        </w:tc>
      </w:tr>
      <w:tr>
        <w:tc>
          <w:tcPr>
            <w:tcW w:type="dxa" w:w="2448"/>
          </w:tcPr>
          <w:p>
            <w:pPr>
              <w:spacing w:before="20" w:after="20"/>
            </w:pPr>
            <w:r/>
            <w:r>
              <w:rPr>
                <w:sz w:val="19"/>
              </w:rPr>
              <w:t>Phase G — Sheets Export Audit</w:t>
            </w:r>
          </w:p>
        </w:tc>
        <w:tc>
          <w:tcPr>
            <w:tcW w:type="dxa" w:w="2880"/>
          </w:tcPr>
          <w:p>
            <w:pPr>
              <w:spacing w:before="20" w:after="20"/>
            </w:pPr>
            <w:r/>
            <w:r>
              <w:rPr>
                <w:sz w:val="19"/>
              </w:rPr>
              <w:t>library_utils.py SHEETS_* constants</w:t>
            </w:r>
          </w:p>
        </w:tc>
        <w:tc>
          <w:tcPr>
            <w:tcW w:type="dxa" w:w="2592"/>
          </w:tcPr>
          <w:p>
            <w:pPr>
              <w:spacing w:before="20" w:after="20"/>
            </w:pPr>
            <w:r/>
            <w:r>
              <w:rPr>
                <w:sz w:val="19"/>
              </w:rPr>
              <w:t>(no separate output)</w:t>
            </w:r>
          </w:p>
        </w:tc>
        <w:tc>
          <w:tcPr>
            <w:tcW w:type="dxa" w:w="1440"/>
          </w:tcPr>
          <w:p>
            <w:pPr>
              <w:spacing w:before="20" w:after="20"/>
            </w:pPr>
            <w:r/>
            <w:r>
              <w:rPr>
                <w:sz w:val="19"/>
              </w:rPr>
              <w:t>Done</w:t>
            </w:r>
          </w:p>
        </w:tc>
      </w:tr>
      <w:tr>
        <w:tc>
          <w:tcPr>
            <w:tcW w:type="dxa" w:w="2448"/>
          </w:tcPr>
          <w:p>
            <w:pPr>
              <w:spacing w:before="20" w:after="20"/>
            </w:pPr>
            <w:r/>
            <w:r>
              <w:rPr>
                <w:sz w:val="19"/>
              </w:rPr>
              <w:t>Phase H — Daily Integrated Audit</w:t>
            </w:r>
          </w:p>
        </w:tc>
        <w:tc>
          <w:tcPr>
            <w:tcW w:type="dxa" w:w="2880"/>
          </w:tcPr>
          <w:p>
            <w:pPr>
              <w:spacing w:before="20" w:after="20"/>
            </w:pPr>
            <w:r/>
            <w:r>
              <w:rPr>
                <w:sz w:val="19"/>
              </w:rPr>
              <w:t>data_audit.py + audit_writeback.py</w:t>
            </w:r>
          </w:p>
        </w:tc>
        <w:tc>
          <w:tcPr>
            <w:tcW w:type="dxa" w:w="2592"/>
          </w:tcPr>
          <w:p>
            <w:pPr>
              <w:spacing w:before="20" w:after="20"/>
            </w:pPr>
            <w:r/>
            <w:r>
              <w:rPr>
                <w:sz w:val="19"/>
              </w:rPr>
              <w:t>data_audit.txt, audit_comment.md</w:t>
            </w:r>
          </w:p>
        </w:tc>
        <w:tc>
          <w:tcPr>
            <w:tcW w:type="dxa" w:w="1440"/>
          </w:tcPr>
          <w:p>
            <w:pPr>
              <w:spacing w:before="20" w:after="20"/>
            </w:pPr>
            <w:r/>
            <w:r>
              <w:rPr>
                <w:sz w:val="19"/>
              </w:rPr>
              <w:t>Done</w:t>
            </w:r>
          </w:p>
        </w:tc>
      </w:tr>
    </w:tbl>
    <w:p/>
    <w:p>
      <w:pPr>
        <w:pStyle w:val="Heading2"/>
        <w:spacing w:before="200" w:after="40"/>
      </w:pPr>
      <w:r>
        <w:t>3.3  Outputs</w:t>
      </w:r>
    </w:p>
    <w:p>
      <w:pPr>
        <w:spacing w:after="120"/>
      </w:pPr>
      <w:r>
        <w:rPr>
          <w:b w:val="0"/>
          <w:i w:val="0"/>
          <w:sz w:val="21"/>
        </w:rPr>
        <w:t>The pipeline writes seven active Google Sheets tabs, each mirrored as a CSV in the data/ directory of the repository. A retired-tab frozenset is swept on every run so that decommissioned tabs cannot accumulate. In parallel, the indicator-explorer rebuild produces a self-contained HTML page and an embedded JavaScript bundle of market data. All of these artefacts are committed back to the main branch with a timestamped message; the explorer is additionally published to GitHub Pages.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D9E2F3"/>
          </w:tcPr>
          <w:p>
            <w:pPr>
              <w:spacing w:before="40" w:after="40"/>
            </w:pPr>
            <w:r/>
            <w:r>
              <w:rPr>
                <w:b/>
                <w:sz w:val="19"/>
              </w:rPr>
              <w:t>Tab / CSV</w:t>
            </w:r>
          </w:p>
        </w:tc>
        <w:tc>
          <w:tcPr>
            <w:tcW w:type="dxa" w:w="3024"/>
            <w:shd w:val="clear" w:color="auto" w:fill="D9E2F3"/>
          </w:tcPr>
          <w:p>
            <w:pPr>
              <w:spacing w:before="40" w:after="40"/>
            </w:pPr>
            <w:r/>
            <w:r>
              <w:rPr>
                <w:b/>
                <w:sz w:val="19"/>
              </w:rPr>
              <w:t>Shape</w:t>
            </w:r>
          </w:p>
        </w:tc>
        <w:tc>
          <w:tcPr>
            <w:tcW w:type="dxa" w:w="3744"/>
            <w:shd w:val="clear" w:color="auto" w:fill="D9E2F3"/>
          </w:tcPr>
          <w:p>
            <w:pPr>
              <w:spacing w:before="40" w:after="40"/>
            </w:pPr>
            <w:r/>
            <w:r>
              <w:rPr>
                <w:b/>
                <w:sz w:val="19"/>
              </w:rPr>
              <w:t>Contents</w:t>
            </w:r>
          </w:p>
        </w:tc>
      </w:tr>
      <w:tr>
        <w:tc>
          <w:tcPr>
            <w:tcW w:type="dxa" w:w="2592"/>
          </w:tcPr>
          <w:p>
            <w:pPr>
              <w:spacing w:before="20" w:after="20"/>
            </w:pPr>
            <w:r/>
            <w:r>
              <w:rPr>
                <w:sz w:val="19"/>
              </w:rPr>
              <w:t>market_data</w:t>
            </w:r>
          </w:p>
        </w:tc>
        <w:tc>
          <w:tcPr>
            <w:tcW w:type="dxa" w:w="3024"/>
          </w:tcPr>
          <w:p>
            <w:pPr>
              <w:spacing w:before="20" w:after="20"/>
            </w:pPr>
            <w:r/>
            <w:r>
              <w:rPr>
                <w:sz w:val="19"/>
              </w:rPr>
              <w:t>Snapshot, ~70 instruments</w:t>
            </w:r>
          </w:p>
        </w:tc>
        <w:tc>
          <w:tcPr>
            <w:tcW w:type="dxa" w:w="3744"/>
          </w:tcPr>
          <w:p>
            <w:pPr>
              <w:spacing w:before="20" w:after="20"/>
            </w:pPr>
            <w:r/>
            <w:r>
              <w:rPr>
                <w:sz w:val="19"/>
              </w:rPr>
              <w:t>Simple pipeline; consumed by downstream trigger.py</w:t>
            </w:r>
          </w:p>
        </w:tc>
      </w:tr>
      <w:tr>
        <w:tc>
          <w:tcPr>
            <w:tcW w:type="dxa" w:w="2592"/>
          </w:tcPr>
          <w:p>
            <w:pPr>
              <w:spacing w:before="20" w:after="20"/>
            </w:pPr>
            <w:r/>
            <w:r>
              <w:rPr>
                <w:sz w:val="19"/>
              </w:rPr>
              <w:t>market_data_comp</w:t>
            </w:r>
          </w:p>
        </w:tc>
        <w:tc>
          <w:tcPr>
            <w:tcW w:type="dxa" w:w="3024"/>
          </w:tcPr>
          <w:p>
            <w:pPr>
              <w:spacing w:before="20" w:after="20"/>
            </w:pPr>
            <w:r/>
            <w:r>
              <w:rPr>
                <w:sz w:val="19"/>
              </w:rPr>
              <w:t>Snapshot, ~390 instruments</w:t>
            </w:r>
          </w:p>
        </w:tc>
        <w:tc>
          <w:tcPr>
            <w:tcW w:type="dxa" w:w="3744"/>
          </w:tcPr>
          <w:p>
            <w:pPr>
              <w:spacing w:before="20" w:after="20"/>
            </w:pPr>
            <w:r/>
            <w:r>
              <w:rPr>
                <w:sz w:val="19"/>
              </w:rPr>
              <w:t>Comp pipeline; full instrument library</w:t>
            </w:r>
          </w:p>
        </w:tc>
      </w:tr>
      <w:tr>
        <w:tc>
          <w:tcPr>
            <w:tcW w:type="dxa" w:w="2592"/>
          </w:tcPr>
          <w:p>
            <w:pPr>
              <w:spacing w:before="20" w:after="20"/>
            </w:pPr>
            <w:r/>
            <w:r>
              <w:rPr>
                <w:sz w:val="19"/>
              </w:rPr>
              <w:t>market_data_comp_hist</w:t>
            </w:r>
          </w:p>
        </w:tc>
        <w:tc>
          <w:tcPr>
            <w:tcW w:type="dxa" w:w="3024"/>
          </w:tcPr>
          <w:p>
            <w:pPr>
              <w:spacing w:before="20" w:after="20"/>
            </w:pPr>
            <w:r/>
            <w:r>
              <w:rPr>
                <w:sz w:val="19"/>
              </w:rPr>
              <w:t>Weekly history from 1950</w:t>
            </w:r>
          </w:p>
        </w:tc>
        <w:tc>
          <w:tcPr>
            <w:tcW w:type="dxa" w:w="3744"/>
          </w:tcPr>
          <w:p>
            <w:pPr>
              <w:spacing w:before="20" w:after="20"/>
            </w:pPr>
            <w:r/>
            <w:r>
              <w:rPr>
                <w:sz w:val="19"/>
              </w:rPr>
              <w:t>Friday-spine alignment; 10 metadata prefix rows</w:t>
            </w:r>
          </w:p>
        </w:tc>
      </w:tr>
      <w:tr>
        <w:tc>
          <w:tcPr>
            <w:tcW w:type="dxa" w:w="2592"/>
          </w:tcPr>
          <w:p>
            <w:pPr>
              <w:spacing w:before="20" w:after="20"/>
            </w:pPr>
            <w:r/>
            <w:r>
              <w:rPr>
                <w:sz w:val="19"/>
              </w:rPr>
              <w:t>macro_economic</w:t>
            </w:r>
          </w:p>
        </w:tc>
        <w:tc>
          <w:tcPr>
            <w:tcW w:type="dxa" w:w="3024"/>
          </w:tcPr>
          <w:p>
            <w:pPr>
              <w:spacing w:before="20" w:after="20"/>
            </w:pPr>
            <w:r/>
            <w:r>
              <w:rPr>
                <w:sz w:val="19"/>
              </w:rPr>
              <w:t>Long-form snapshot</w:t>
            </w:r>
          </w:p>
        </w:tc>
        <w:tc>
          <w:tcPr>
            <w:tcW w:type="dxa" w:w="3744"/>
          </w:tcPr>
          <w:p>
            <w:pPr>
              <w:spacing w:before="20" w:after="20"/>
            </w:pPr>
            <w:r/>
            <w:r>
              <w:rPr>
                <w:sz w:val="19"/>
              </w:rPr>
              <w:t>Unified raw-macro layer across all 10 sources</w:t>
            </w:r>
          </w:p>
        </w:tc>
      </w:tr>
      <w:tr>
        <w:tc>
          <w:tcPr>
            <w:tcW w:type="dxa" w:w="2592"/>
          </w:tcPr>
          <w:p>
            <w:pPr>
              <w:spacing w:before="20" w:after="20"/>
            </w:pPr>
            <w:r/>
            <w:r>
              <w:rPr>
                <w:sz w:val="19"/>
              </w:rPr>
              <w:t>macro_economic_hist</w:t>
            </w:r>
          </w:p>
        </w:tc>
        <w:tc>
          <w:tcPr>
            <w:tcW w:type="dxa" w:w="3024"/>
          </w:tcPr>
          <w:p>
            <w:pPr>
              <w:spacing w:before="20" w:after="20"/>
            </w:pPr>
            <w:r/>
            <w:r>
              <w:rPr>
                <w:sz w:val="19"/>
              </w:rPr>
              <w:t>Wide-form weekly history from 1947</w:t>
            </w:r>
          </w:p>
        </w:tc>
        <w:tc>
          <w:tcPr>
            <w:tcW w:type="dxa" w:w="3744"/>
          </w:tcPr>
          <w:p>
            <w:pPr>
              <w:spacing w:before="20" w:after="20"/>
            </w:pPr>
            <w:r/>
            <w:r>
              <w:rPr>
                <w:sz w:val="19"/>
              </w:rPr>
              <w:t>14 metadata prefix rows + Friday spine</w:t>
            </w:r>
          </w:p>
        </w:tc>
      </w:tr>
      <w:tr>
        <w:tc>
          <w:tcPr>
            <w:tcW w:type="dxa" w:w="2592"/>
          </w:tcPr>
          <w:p>
            <w:pPr>
              <w:spacing w:before="20" w:after="20"/>
            </w:pPr>
            <w:r/>
            <w:r>
              <w:rPr>
                <w:sz w:val="19"/>
              </w:rPr>
              <w:t>macro_market</w:t>
            </w:r>
          </w:p>
        </w:tc>
        <w:tc>
          <w:tcPr>
            <w:tcW w:type="dxa" w:w="3024"/>
          </w:tcPr>
          <w:p>
            <w:pPr>
              <w:spacing w:before="20" w:after="20"/>
            </w:pPr>
            <w:r/>
            <w:r>
              <w:rPr>
                <w:sz w:val="19"/>
              </w:rPr>
              <w:t>92 indicators, snapshot</w:t>
            </w:r>
          </w:p>
        </w:tc>
        <w:tc>
          <w:tcPr>
            <w:tcW w:type="dxa" w:w="3744"/>
          </w:tcPr>
          <w:p>
            <w:pPr>
              <w:spacing w:before="20" w:after="20"/>
            </w:pPr>
            <w:r/>
            <w:r>
              <w:rPr>
                <w:sz w:val="19"/>
              </w:rPr>
              <w:t>Includes z-score, regime, fwd_regime, trajectory diagnostics</w:t>
            </w:r>
          </w:p>
        </w:tc>
      </w:tr>
      <w:tr>
        <w:tc>
          <w:tcPr>
            <w:tcW w:type="dxa" w:w="2592"/>
          </w:tcPr>
          <w:p>
            <w:pPr>
              <w:spacing w:before="20" w:after="20"/>
            </w:pPr>
            <w:r/>
            <w:r>
              <w:rPr>
                <w:sz w:val="19"/>
              </w:rPr>
              <w:t>macro_market_hist</w:t>
            </w:r>
          </w:p>
        </w:tc>
        <w:tc>
          <w:tcPr>
            <w:tcW w:type="dxa" w:w="3024"/>
          </w:tcPr>
          <w:p>
            <w:pPr>
              <w:spacing w:before="20" w:after="20"/>
            </w:pPr>
            <w:r/>
            <w:r>
              <w:rPr>
                <w:sz w:val="19"/>
              </w:rPr>
              <w:t>Weekly indicator history from 2000</w:t>
            </w:r>
          </w:p>
        </w:tc>
        <w:tc>
          <w:tcPr>
            <w:tcW w:type="dxa" w:w="3744"/>
          </w:tcPr>
          <w:p>
            <w:pPr>
              <w:spacing w:before="20" w:after="20"/>
            </w:pPr>
            <w:r/>
            <w:r>
              <w:rPr>
                <w:sz w:val="19"/>
              </w:rPr>
              <w:t>raw, zscore, regime, fwd_regime per indicator</w:t>
            </w:r>
          </w:p>
        </w:tc>
      </w:tr>
    </w:tbl>
    <w:p/>
    <w:tbl>
      <w:tblPr>
        <w:tblW w:type="auto" w:w="0"/>
        <w:tblLook w:firstColumn="1" w:firstRow="1" w:lastColumn="0" w:lastRow="0" w:noHBand="0" w:noVBand="1" w:val="04A0"/>
      </w:tblPr>
      <w:tblGrid>
        <w:gridCol w:w="9072"/>
      </w:tblGrid>
      <w:tr>
        <w:tc>
          <w:tcPr>
            <w:tcW w:type="dxa" w:w="9072"/>
            <w:shd w:val="clear" w:color="auto" w:fill="F2F2F2"/>
            <w:vAlign w:val="top"/>
          </w:tcPr>
          <w:p>
            <w:pPr>
              <w:spacing w:after="40"/>
            </w:pPr>
            <w:r>
              <w:rPr>
                <w:b/>
                <w:sz w:val="20"/>
              </w:rPr>
              <w:t>Why a Friday spine?</w:t>
            </w:r>
          </w:p>
          <w:p>
            <w:pPr>
              <w:spacing w:after="0"/>
            </w:pPr>
            <w:r>
              <w:rPr>
                <w:sz w:val="20"/>
              </w:rPr>
              <w:t>Macro releases arrive on heterogeneous cadences (daily, weekly, monthly, quarterly, annual). Aligning every series to a single weekly Friday-close index allows cross-series analysis and z-score computation without per-pair date-alignment logic. Forward-fill into the Friday slots is acceptable because the downstream value-change staleness audit (Section 8) detects any series that has stopped moving.</w:t>
            </w:r>
          </w:p>
        </w:tc>
      </w:tr>
    </w:tbl>
    <w:p/>
    <w:p>
      <w:r>
        <w:br w:type="page"/>
      </w:r>
    </w:p>
    <w:p>
      <w:pPr>
        <w:pStyle w:val="Heading1"/>
        <w:spacing w:before="0" w:after="160"/>
      </w:pPr>
      <w:r>
        <w:t>4.  Data Architecture &amp; Source Catalogue</w:t>
      </w:r>
    </w:p>
    <w:p>
      <w:pPr>
        <w:pStyle w:val="Heading2"/>
        <w:spacing w:before="200" w:after="40"/>
      </w:pPr>
      <w:r>
        <w:t>4.1  The single architectural rule</w:t>
      </w:r>
    </w:p>
    <w:p>
      <w:pPr>
        <w:spacing w:after="120"/>
      </w:pPr>
      <w:r>
        <w:rPr>
          <w:b w:val="0"/>
          <w:i w:val="0"/>
          <w:sz w:val="21"/>
        </w:rPr>
        <w:t>The project's dominant design rule is this: every identifier the pipeline fetches must live in a CSV registry under data/, never in Python source. The motivation for the rule is empirical. Two earlier refactors had to chase hardcoded identifiers out of the codebase — the indicator-metadata Python dictionary into a registry CSV in April 2026, and the per-source coordinators into a unified coordinator one week later. Each refactor cost engineering time that would not have been incurred had the identifiers lived in their proper home from the outset.</w:t>
      </w:r>
    </w:p>
    <w:p>
      <w:pPr>
        <w:spacing w:after="120"/>
      </w:pPr>
      <w:r>
        <w:rPr>
          <w:b w:val="0"/>
          <w:i w:val="0"/>
          <w:sz w:val="21"/>
        </w:rPr>
        <w:t>The rule applies to: FRED series identifiers, DB.nomics series paths, OECD SDMX dataflow and dimension keys, World Bank and IMF indicator codes, ifo Excel sheet and column locations, ECB and BoE series codes, BoJ time-series codes, e-Stat statsDataIds, yfinance tickers, and any URL fragment that selects a specific dataset. It does not apply to: API base URLs, computation parameters such as the z-score window, internal column-name conventions, or calculator wiring (which series each calculator consumes), since those are logic rather than registry.</w:t>
      </w:r>
    </w:p>
    <w:tbl>
      <w:tblPr>
        <w:tblW w:type="auto" w:w="0"/>
        <w:tblLook w:firstColumn="1" w:firstRow="1" w:lastColumn="0" w:lastRow="0" w:noHBand="0" w:noVBand="1" w:val="04A0"/>
      </w:tblPr>
      <w:tblGrid>
        <w:gridCol w:w="9072"/>
      </w:tblGrid>
      <w:tr>
        <w:tc>
          <w:tcPr>
            <w:tcW w:type="dxa" w:w="9072"/>
            <w:shd w:val="clear" w:color="auto" w:fill="F2F2F2"/>
            <w:vAlign w:val="top"/>
          </w:tcPr>
          <w:p>
            <w:pPr>
              <w:spacing w:after="40"/>
            </w:pPr>
            <w:r>
              <w:rPr>
                <w:b/>
                <w:sz w:val="20"/>
              </w:rPr>
              <w:t>Architectural invariant</w:t>
            </w:r>
          </w:p>
          <w:p>
            <w:pPr>
              <w:spacing w:after="0"/>
            </w:pPr>
            <w:r>
              <w:rPr>
                <w:sz w:val="20"/>
              </w:rPr>
              <w:t>If a change adds, removes, renames, or substitutes a fetched identifier, the only file edited is the appropriate data/macro_library_*.csv (or index_library.csv / macro_indicator_library.csv depending on the layer). No exceptions. This invariant is verified daily by the audit's registry-drift static check.</w:t>
            </w:r>
          </w:p>
        </w:tc>
      </w:tr>
    </w:tbl>
    <w:p/>
    <w:p>
      <w:pPr>
        <w:pStyle w:val="Heading2"/>
        <w:spacing w:before="200" w:after="40"/>
      </w:pPr>
      <w:r>
        <w:t>4.2  The data-layer registry</w:t>
      </w:r>
    </w:p>
    <w:p>
      <w:pPr>
        <w:spacing w:after="120"/>
      </w:pPr>
      <w:r>
        <w:rPr>
          <w:b w:val="0"/>
          <w:i w:val="0"/>
          <w:sz w:val="21"/>
        </w:rPr>
        <w:t>Fourteen CSV files together constitute the data-layer registry. They are read at process startup, never written by the runtime pipeline, and version-controlled in the same repository as the code. Adding or removing a series is a one-CSV-row commit; renaming a series is a one-CSV-cell commit.</w:t>
      </w:r>
    </w:p>
    <w:tbl>
      <w:tblPr>
        <w:tblStyle w:val="TableGrid"/>
        <w:tblW w:type="auto" w:w="0"/>
        <w:tblLook w:firstColumn="1" w:firstRow="1" w:lastColumn="0" w:lastRow="0" w:noHBand="0" w:noVBand="1" w:val="04A0"/>
      </w:tblPr>
      <w:tblGrid>
        <w:gridCol w:w="3024"/>
        <w:gridCol w:w="3024"/>
        <w:gridCol w:w="3024"/>
      </w:tblGrid>
      <w:tr>
        <w:tc>
          <w:tcPr>
            <w:tcW w:type="dxa" w:w="3456"/>
            <w:shd w:val="clear" w:color="auto" w:fill="D9E2F3"/>
          </w:tcPr>
          <w:p>
            <w:pPr>
              <w:spacing w:before="40" w:after="40"/>
            </w:pPr>
            <w:r/>
            <w:r>
              <w:rPr>
                <w:b/>
                <w:sz w:val="19"/>
              </w:rPr>
              <w:t>Registry file</w:t>
            </w:r>
          </w:p>
        </w:tc>
        <w:tc>
          <w:tcPr>
            <w:tcW w:type="dxa" w:w="864"/>
            <w:shd w:val="clear" w:color="auto" w:fill="D9E2F3"/>
          </w:tcPr>
          <w:p>
            <w:pPr>
              <w:spacing w:before="40" w:after="40"/>
            </w:pPr>
            <w:r/>
            <w:r>
              <w:rPr>
                <w:b/>
                <w:sz w:val="19"/>
              </w:rPr>
              <w:t>Rows</w:t>
            </w:r>
          </w:p>
        </w:tc>
        <w:tc>
          <w:tcPr>
            <w:tcW w:type="dxa" w:w="5040"/>
            <w:shd w:val="clear" w:color="auto" w:fill="D9E2F3"/>
          </w:tcPr>
          <w:p>
            <w:pPr>
              <w:spacing w:before="40" w:after="40"/>
            </w:pPr>
            <w:r/>
            <w:r>
              <w:rPr>
                <w:b/>
                <w:sz w:val="19"/>
              </w:rPr>
              <w:t>Contents</w:t>
            </w:r>
          </w:p>
        </w:tc>
      </w:tr>
      <w:tr>
        <w:tc>
          <w:tcPr>
            <w:tcW w:type="dxa" w:w="3456"/>
          </w:tcPr>
          <w:p>
            <w:pPr>
              <w:spacing w:before="20" w:after="20"/>
            </w:pPr>
            <w:r/>
            <w:r>
              <w:rPr>
                <w:sz w:val="19"/>
              </w:rPr>
              <w:t>index_library.csv</w:t>
            </w:r>
          </w:p>
        </w:tc>
        <w:tc>
          <w:tcPr>
            <w:tcW w:type="dxa" w:w="864"/>
          </w:tcPr>
          <w:p>
            <w:pPr>
              <w:spacing w:before="20" w:after="20"/>
            </w:pPr>
            <w:r/>
            <w:r>
              <w:rPr>
                <w:sz w:val="19"/>
              </w:rPr>
              <w:t>~401</w:t>
            </w:r>
          </w:p>
        </w:tc>
        <w:tc>
          <w:tcPr>
            <w:tcW w:type="dxa" w:w="5040"/>
          </w:tcPr>
          <w:p>
            <w:pPr>
              <w:spacing w:before="20" w:after="20"/>
            </w:pPr>
            <w:r/>
            <w:r>
              <w:rPr>
                <w:sz w:val="19"/>
              </w:rPr>
              <w:t>Comp pipeline tickers (yfinance + FRED bond indices)</w:t>
            </w:r>
          </w:p>
        </w:tc>
      </w:tr>
      <w:tr>
        <w:tc>
          <w:tcPr>
            <w:tcW w:type="dxa" w:w="3456"/>
          </w:tcPr>
          <w:p>
            <w:pPr>
              <w:spacing w:before="20" w:after="20"/>
            </w:pPr>
            <w:r/>
            <w:r>
              <w:rPr>
                <w:sz w:val="19"/>
              </w:rPr>
              <w:t>macro_library_countries.csv</w:t>
            </w:r>
          </w:p>
        </w:tc>
        <w:tc>
          <w:tcPr>
            <w:tcW w:type="dxa" w:w="864"/>
          </w:tcPr>
          <w:p>
            <w:pPr>
              <w:spacing w:before="20" w:after="20"/>
            </w:pPr>
            <w:r/>
            <w:r>
              <w:rPr>
                <w:sz w:val="19"/>
              </w:rPr>
              <w:t>12</w:t>
            </w:r>
          </w:p>
        </w:tc>
        <w:tc>
          <w:tcPr>
            <w:tcW w:type="dxa" w:w="5040"/>
          </w:tcPr>
          <w:p>
            <w:pPr>
              <w:spacing w:before="20" w:after="20"/>
            </w:pPr>
            <w:r/>
            <w:r>
              <w:rPr>
                <w:sz w:val="19"/>
              </w:rPr>
              <w:t>Country codes + per-source code mappings (WB, IMF, OECD)</w:t>
            </w:r>
          </w:p>
        </w:tc>
      </w:tr>
      <w:tr>
        <w:tc>
          <w:tcPr>
            <w:tcW w:type="dxa" w:w="3456"/>
          </w:tcPr>
          <w:p>
            <w:pPr>
              <w:spacing w:before="20" w:after="20"/>
            </w:pPr>
            <w:r/>
            <w:r>
              <w:rPr>
                <w:sz w:val="19"/>
              </w:rPr>
              <w:t>macro_library_fred.csv</w:t>
            </w:r>
          </w:p>
        </w:tc>
        <w:tc>
          <w:tcPr>
            <w:tcW w:type="dxa" w:w="864"/>
          </w:tcPr>
          <w:p>
            <w:pPr>
              <w:spacing w:before="20" w:after="20"/>
            </w:pPr>
            <w:r/>
            <w:r>
              <w:rPr>
                <w:sz w:val="19"/>
              </w:rPr>
              <w:t>~82</w:t>
            </w:r>
          </w:p>
        </w:tc>
        <w:tc>
          <w:tcPr>
            <w:tcW w:type="dxa" w:w="5040"/>
          </w:tcPr>
          <w:p>
            <w:pPr>
              <w:spacing w:before="20" w:after="20"/>
            </w:pPr>
            <w:r/>
            <w:r>
              <w:rPr>
                <w:sz w:val="19"/>
              </w:rPr>
              <w:t>FRED series IDs (US + international)</w:t>
            </w:r>
          </w:p>
        </w:tc>
      </w:tr>
      <w:tr>
        <w:tc>
          <w:tcPr>
            <w:tcW w:type="dxa" w:w="3456"/>
          </w:tcPr>
          <w:p>
            <w:pPr>
              <w:spacing w:before="20" w:after="20"/>
            </w:pPr>
            <w:r/>
            <w:r>
              <w:rPr>
                <w:sz w:val="19"/>
              </w:rPr>
              <w:t>macro_library_oecd.csv</w:t>
            </w:r>
          </w:p>
        </w:tc>
        <w:tc>
          <w:tcPr>
            <w:tcW w:type="dxa" w:w="864"/>
          </w:tcPr>
          <w:p>
            <w:pPr>
              <w:spacing w:before="20" w:after="20"/>
            </w:pPr>
            <w:r/>
            <w:r>
              <w:rPr>
                <w:sz w:val="19"/>
              </w:rPr>
              <w:t>3</w:t>
            </w:r>
          </w:p>
        </w:tc>
        <w:tc>
          <w:tcPr>
            <w:tcW w:type="dxa" w:w="5040"/>
          </w:tcPr>
          <w:p>
            <w:pPr>
              <w:spacing w:before="20" w:after="20"/>
            </w:pPr>
            <w:r/>
            <w:r>
              <w:rPr>
                <w:sz w:val="19"/>
              </w:rPr>
              <w:t>OECD SDMX dataflow + dimension keys</w:t>
            </w:r>
          </w:p>
        </w:tc>
      </w:tr>
      <w:tr>
        <w:tc>
          <w:tcPr>
            <w:tcW w:type="dxa" w:w="3456"/>
          </w:tcPr>
          <w:p>
            <w:pPr>
              <w:spacing w:before="20" w:after="20"/>
            </w:pPr>
            <w:r/>
            <w:r>
              <w:rPr>
                <w:sz w:val="19"/>
              </w:rPr>
              <w:t>macro_library_worldbank.csv</w:t>
            </w:r>
          </w:p>
        </w:tc>
        <w:tc>
          <w:tcPr>
            <w:tcW w:type="dxa" w:w="864"/>
          </w:tcPr>
          <w:p>
            <w:pPr>
              <w:spacing w:before="20" w:after="20"/>
            </w:pPr>
            <w:r/>
            <w:r>
              <w:rPr>
                <w:sz w:val="19"/>
              </w:rPr>
              <w:t>1</w:t>
            </w:r>
          </w:p>
        </w:tc>
        <w:tc>
          <w:tcPr>
            <w:tcW w:type="dxa" w:w="5040"/>
          </w:tcPr>
          <w:p>
            <w:pPr>
              <w:spacing w:before="20" w:after="20"/>
            </w:pPr>
            <w:r/>
            <w:r>
              <w:rPr>
                <w:sz w:val="19"/>
              </w:rPr>
              <w:t>World Bank WDI indicator codes (CPI YoY)</w:t>
            </w:r>
          </w:p>
        </w:tc>
      </w:tr>
      <w:tr>
        <w:tc>
          <w:tcPr>
            <w:tcW w:type="dxa" w:w="3456"/>
          </w:tcPr>
          <w:p>
            <w:pPr>
              <w:spacing w:before="20" w:after="20"/>
            </w:pPr>
            <w:r/>
            <w:r>
              <w:rPr>
                <w:sz w:val="19"/>
              </w:rPr>
              <w:t>macro_library_imf.csv</w:t>
            </w:r>
          </w:p>
        </w:tc>
        <w:tc>
          <w:tcPr>
            <w:tcW w:type="dxa" w:w="864"/>
          </w:tcPr>
          <w:p>
            <w:pPr>
              <w:spacing w:before="20" w:after="20"/>
            </w:pPr>
            <w:r/>
            <w:r>
              <w:rPr>
                <w:sz w:val="19"/>
              </w:rPr>
              <w:t>1</w:t>
            </w:r>
          </w:p>
        </w:tc>
        <w:tc>
          <w:tcPr>
            <w:tcW w:type="dxa" w:w="5040"/>
          </w:tcPr>
          <w:p>
            <w:pPr>
              <w:spacing w:before="20" w:after="20"/>
            </w:pPr>
            <w:r/>
            <w:r>
              <w:rPr>
                <w:sz w:val="19"/>
              </w:rPr>
              <w:t>IMF DataMapper indicator codes (real GDP growth)</w:t>
            </w:r>
          </w:p>
        </w:tc>
      </w:tr>
      <w:tr>
        <w:tc>
          <w:tcPr>
            <w:tcW w:type="dxa" w:w="3456"/>
          </w:tcPr>
          <w:p>
            <w:pPr>
              <w:spacing w:before="20" w:after="20"/>
            </w:pPr>
            <w:r/>
            <w:r>
              <w:rPr>
                <w:sz w:val="19"/>
              </w:rPr>
              <w:t>macro_library_dbnomics.csv</w:t>
            </w:r>
          </w:p>
        </w:tc>
        <w:tc>
          <w:tcPr>
            <w:tcW w:type="dxa" w:w="864"/>
          </w:tcPr>
          <w:p>
            <w:pPr>
              <w:spacing w:before="20" w:after="20"/>
            </w:pPr>
            <w:r/>
            <w:r>
              <w:rPr>
                <w:sz w:val="19"/>
              </w:rPr>
              <w:t>13</w:t>
            </w:r>
          </w:p>
        </w:tc>
        <w:tc>
          <w:tcPr>
            <w:tcW w:type="dxa" w:w="5040"/>
          </w:tcPr>
          <w:p>
            <w:pPr>
              <w:spacing w:before="20" w:after="20"/>
            </w:pPr>
            <w:r/>
            <w:r>
              <w:rPr>
                <w:sz w:val="19"/>
              </w:rPr>
              <w:t>DB.nomics series paths (Eurostat, ISM, IMF/IFS fallbacks)</w:t>
            </w:r>
          </w:p>
        </w:tc>
      </w:tr>
      <w:tr>
        <w:tc>
          <w:tcPr>
            <w:tcW w:type="dxa" w:w="3456"/>
          </w:tcPr>
          <w:p>
            <w:pPr>
              <w:spacing w:before="20" w:after="20"/>
            </w:pPr>
            <w:r/>
            <w:r>
              <w:rPr>
                <w:sz w:val="19"/>
              </w:rPr>
              <w:t>macro_library_ifo.csv</w:t>
            </w:r>
          </w:p>
        </w:tc>
        <w:tc>
          <w:tcPr>
            <w:tcW w:type="dxa" w:w="864"/>
          </w:tcPr>
          <w:p>
            <w:pPr>
              <w:spacing w:before="20" w:after="20"/>
            </w:pPr>
            <w:r/>
            <w:r>
              <w:rPr>
                <w:sz w:val="19"/>
              </w:rPr>
              <w:t>26</w:t>
            </w:r>
          </w:p>
        </w:tc>
        <w:tc>
          <w:tcPr>
            <w:tcW w:type="dxa" w:w="5040"/>
          </w:tcPr>
          <w:p>
            <w:pPr>
              <w:spacing w:before="20" w:after="20"/>
            </w:pPr>
            <w:r/>
            <w:r>
              <w:rPr>
                <w:sz w:val="19"/>
              </w:rPr>
              <w:t>ifo workbook sheet/column locations</w:t>
            </w:r>
          </w:p>
        </w:tc>
      </w:tr>
      <w:tr>
        <w:tc>
          <w:tcPr>
            <w:tcW w:type="dxa" w:w="3456"/>
          </w:tcPr>
          <w:p>
            <w:pPr>
              <w:spacing w:before="20" w:after="20"/>
            </w:pPr>
            <w:r/>
            <w:r>
              <w:rPr>
                <w:sz w:val="19"/>
              </w:rPr>
              <w:t>macro_library_boe.csv</w:t>
            </w:r>
          </w:p>
        </w:tc>
        <w:tc>
          <w:tcPr>
            <w:tcW w:type="dxa" w:w="864"/>
          </w:tcPr>
          <w:p>
            <w:pPr>
              <w:spacing w:before="20" w:after="20"/>
            </w:pPr>
            <w:r/>
            <w:r>
              <w:rPr>
                <w:sz w:val="19"/>
              </w:rPr>
              <w:t>7</w:t>
            </w:r>
          </w:p>
        </w:tc>
        <w:tc>
          <w:tcPr>
            <w:tcW w:type="dxa" w:w="5040"/>
          </w:tcPr>
          <w:p>
            <w:pPr>
              <w:spacing w:before="20" w:after="20"/>
            </w:pPr>
            <w:r/>
            <w:r>
              <w:rPr>
                <w:sz w:val="19"/>
              </w:rPr>
              <w:t>BoE IADB series (Bank Rate, SONIA, gilt par/zero curves)</w:t>
            </w:r>
          </w:p>
        </w:tc>
      </w:tr>
      <w:tr>
        <w:tc>
          <w:tcPr>
            <w:tcW w:type="dxa" w:w="3456"/>
          </w:tcPr>
          <w:p>
            <w:pPr>
              <w:spacing w:before="20" w:after="20"/>
            </w:pPr>
            <w:r/>
            <w:r>
              <w:rPr>
                <w:sz w:val="19"/>
              </w:rPr>
              <w:t>macro_library_ecb.csv</w:t>
            </w:r>
          </w:p>
        </w:tc>
        <w:tc>
          <w:tcPr>
            <w:tcW w:type="dxa" w:w="864"/>
          </w:tcPr>
          <w:p>
            <w:pPr>
              <w:spacing w:before="20" w:after="20"/>
            </w:pPr>
            <w:r/>
            <w:r>
              <w:rPr>
                <w:sz w:val="19"/>
              </w:rPr>
              <w:t>3</w:t>
            </w:r>
          </w:p>
        </w:tc>
        <w:tc>
          <w:tcPr>
            <w:tcW w:type="dxa" w:w="5040"/>
          </w:tcPr>
          <w:p>
            <w:pPr>
              <w:spacing w:before="20" w:after="20"/>
            </w:pPr>
            <w:r/>
            <w:r>
              <w:rPr>
                <w:sz w:val="19"/>
              </w:rPr>
              <w:t>ECB Data Portal SDMX keys (deposit rate, AAA yield curve)</w:t>
            </w:r>
          </w:p>
        </w:tc>
      </w:tr>
      <w:tr>
        <w:tc>
          <w:tcPr>
            <w:tcW w:type="dxa" w:w="3456"/>
          </w:tcPr>
          <w:p>
            <w:pPr>
              <w:spacing w:before="20" w:after="20"/>
            </w:pPr>
            <w:r/>
            <w:r>
              <w:rPr>
                <w:sz w:val="19"/>
              </w:rPr>
              <w:t>macro_library_boj.csv</w:t>
            </w:r>
          </w:p>
        </w:tc>
        <w:tc>
          <w:tcPr>
            <w:tcW w:type="dxa" w:w="864"/>
          </w:tcPr>
          <w:p>
            <w:pPr>
              <w:spacing w:before="20" w:after="20"/>
            </w:pPr>
            <w:r/>
            <w:r>
              <w:rPr>
                <w:sz w:val="19"/>
              </w:rPr>
              <w:t>2</w:t>
            </w:r>
          </w:p>
        </w:tc>
        <w:tc>
          <w:tcPr>
            <w:tcW w:type="dxa" w:w="5040"/>
          </w:tcPr>
          <w:p>
            <w:pPr>
              <w:spacing w:before="20" w:after="20"/>
            </w:pPr>
            <w:r/>
            <w:r>
              <w:rPr>
                <w:sz w:val="19"/>
              </w:rPr>
              <w:t>BoJ time-series codes (policy rate, Tankan large mfg DI)</w:t>
            </w:r>
          </w:p>
        </w:tc>
      </w:tr>
      <w:tr>
        <w:tc>
          <w:tcPr>
            <w:tcW w:type="dxa" w:w="3456"/>
          </w:tcPr>
          <w:p>
            <w:pPr>
              <w:spacing w:before="20" w:after="20"/>
            </w:pPr>
            <w:r/>
            <w:r>
              <w:rPr>
                <w:sz w:val="19"/>
              </w:rPr>
              <w:t>macro_library_estat.csv</w:t>
            </w:r>
          </w:p>
        </w:tc>
        <w:tc>
          <w:tcPr>
            <w:tcW w:type="dxa" w:w="864"/>
          </w:tcPr>
          <w:p>
            <w:pPr>
              <w:spacing w:before="20" w:after="20"/>
            </w:pPr>
            <w:r/>
            <w:r>
              <w:rPr>
                <w:sz w:val="19"/>
              </w:rPr>
              <w:t>1</w:t>
            </w:r>
          </w:p>
        </w:tc>
        <w:tc>
          <w:tcPr>
            <w:tcW w:type="dxa" w:w="5040"/>
          </w:tcPr>
          <w:p>
            <w:pPr>
              <w:spacing w:before="20" w:after="20"/>
            </w:pPr>
            <w:r/>
            <w:r>
              <w:rPr>
                <w:sz w:val="19"/>
              </w:rPr>
              <w:t>e-Stat statsDataIds (METI Indices of Industrial Production)</w:t>
            </w:r>
          </w:p>
        </w:tc>
      </w:tr>
      <w:tr>
        <w:tc>
          <w:tcPr>
            <w:tcW w:type="dxa" w:w="3456"/>
          </w:tcPr>
          <w:p>
            <w:pPr>
              <w:spacing w:before="20" w:after="20"/>
            </w:pPr>
            <w:r/>
            <w:r>
              <w:rPr>
                <w:sz w:val="19"/>
              </w:rPr>
              <w:t>source_fallbacks.csv</w:t>
            </w:r>
          </w:p>
        </w:tc>
        <w:tc>
          <w:tcPr>
            <w:tcW w:type="dxa" w:w="864"/>
          </w:tcPr>
          <w:p>
            <w:pPr>
              <w:spacing w:before="20" w:after="20"/>
            </w:pPr>
            <w:r/>
            <w:r>
              <w:rPr>
                <w:sz w:val="19"/>
              </w:rPr>
              <w:t>9</w:t>
            </w:r>
          </w:p>
        </w:tc>
        <w:tc>
          <w:tcPr>
            <w:tcW w:type="dxa" w:w="5040"/>
          </w:tcPr>
          <w:p>
            <w:pPr>
              <w:spacing w:before="20" w:after="20"/>
            </w:pPr>
            <w:r/>
            <w:r>
              <w:rPr>
                <w:sz w:val="19"/>
              </w:rPr>
              <w:t>Per-indicator T0/T1/T2/T3 fallback chain (documentation-only)</w:t>
            </w:r>
          </w:p>
        </w:tc>
      </w:tr>
      <w:tr>
        <w:tc>
          <w:tcPr>
            <w:tcW w:type="dxa" w:w="3456"/>
          </w:tcPr>
          <w:p>
            <w:pPr>
              <w:spacing w:before="20" w:after="20"/>
            </w:pPr>
            <w:r/>
            <w:r>
              <w:rPr>
                <w:sz w:val="19"/>
              </w:rPr>
              <w:t>macro_indicator_library.csv</w:t>
            </w:r>
          </w:p>
        </w:tc>
        <w:tc>
          <w:tcPr>
            <w:tcW w:type="dxa" w:w="864"/>
          </w:tcPr>
          <w:p>
            <w:pPr>
              <w:spacing w:before="20" w:after="20"/>
            </w:pPr>
            <w:r/>
            <w:r>
              <w:rPr>
                <w:sz w:val="19"/>
              </w:rPr>
              <w:t>92</w:t>
            </w:r>
          </w:p>
        </w:tc>
        <w:tc>
          <w:tcPr>
            <w:tcW w:type="dxa" w:w="5040"/>
          </w:tcPr>
          <w:p>
            <w:pPr>
              <w:spacing w:before="20" w:after="20"/>
            </w:pPr>
            <w:r/>
            <w:r>
              <w:rPr>
                <w:sz w:val="19"/>
              </w:rPr>
              <w:t>Phase E composite indicator definitions</w:t>
            </w:r>
          </w:p>
        </w:tc>
      </w:tr>
    </w:tbl>
    <w:p/>
    <w:p>
      <w:pPr>
        <w:pStyle w:val="Heading2"/>
        <w:spacing w:before="200" w:after="40"/>
      </w:pPr>
      <w:r>
        <w:t>4.3  Source catalogue</w:t>
      </w:r>
    </w:p>
    <w:p>
      <w:pPr>
        <w:spacing w:after="120"/>
      </w:pPr>
      <w:r>
        <w:rPr>
          <w:b w:val="0"/>
          <w:i w:val="0"/>
          <w:sz w:val="21"/>
        </w:rPr>
        <w:t>Ten free public sources currently contribute to the data layer. Each has its own access protocol, its own rate-limit envelope, and its own pattern of edge-case behaviour; the per-source modules in the sources/ package encapsulate these differences so that the upper layers can treat the data uniformly.</w:t>
      </w:r>
    </w:p>
    <w:tbl>
      <w:tblPr>
        <w:tblStyle w:val="TableGrid"/>
        <w:tblW w:type="auto" w:w="0"/>
        <w:tblLook w:firstColumn="1" w:firstRow="1" w:lastColumn="0" w:lastRow="0" w:noHBand="0" w:noVBand="1" w:val="04A0"/>
      </w:tblPr>
      <w:tblGrid>
        <w:gridCol w:w="2268"/>
        <w:gridCol w:w="2268"/>
        <w:gridCol w:w="2268"/>
        <w:gridCol w:w="2268"/>
      </w:tblGrid>
      <w:tr>
        <w:tc>
          <w:tcPr>
            <w:tcW w:type="dxa" w:w="1296"/>
            <w:shd w:val="clear" w:color="auto" w:fill="D9E2F3"/>
          </w:tcPr>
          <w:p>
            <w:pPr>
              <w:spacing w:before="40" w:after="40"/>
            </w:pPr>
            <w:r/>
            <w:r>
              <w:rPr>
                <w:b/>
                <w:sz w:val="19"/>
              </w:rPr>
              <w:t>Source</w:t>
            </w:r>
          </w:p>
        </w:tc>
        <w:tc>
          <w:tcPr>
            <w:tcW w:type="dxa" w:w="2160"/>
            <w:shd w:val="clear" w:color="auto" w:fill="D9E2F3"/>
          </w:tcPr>
          <w:p>
            <w:pPr>
              <w:spacing w:before="40" w:after="40"/>
            </w:pPr>
            <w:r/>
            <w:r>
              <w:rPr>
                <w:b/>
                <w:sz w:val="19"/>
              </w:rPr>
              <w:t>Provider</w:t>
            </w:r>
          </w:p>
        </w:tc>
        <w:tc>
          <w:tcPr>
            <w:tcW w:type="dxa" w:w="4752"/>
            <w:shd w:val="clear" w:color="auto" w:fill="D9E2F3"/>
          </w:tcPr>
          <w:p>
            <w:pPr>
              <w:spacing w:before="40" w:after="40"/>
            </w:pPr>
            <w:r/>
            <w:r>
              <w:rPr>
                <w:b/>
                <w:sz w:val="19"/>
              </w:rPr>
              <w:t>Coverage</w:t>
            </w:r>
          </w:p>
        </w:tc>
        <w:tc>
          <w:tcPr>
            <w:tcW w:type="dxa" w:w="1008"/>
            <w:shd w:val="clear" w:color="auto" w:fill="D9E2F3"/>
          </w:tcPr>
          <w:p>
            <w:pPr>
              <w:spacing w:before="40" w:after="40"/>
            </w:pPr>
            <w:r/>
            <w:r>
              <w:rPr>
                <w:b/>
                <w:sz w:val="19"/>
              </w:rPr>
              <w:t>Auth</w:t>
            </w:r>
          </w:p>
        </w:tc>
      </w:tr>
      <w:tr>
        <w:tc>
          <w:tcPr>
            <w:tcW w:type="dxa" w:w="1296"/>
          </w:tcPr>
          <w:p>
            <w:pPr>
              <w:spacing w:before="20" w:after="20"/>
            </w:pPr>
            <w:r/>
            <w:r>
              <w:rPr>
                <w:sz w:val="19"/>
              </w:rPr>
              <w:t>yfinance</w:t>
            </w:r>
          </w:p>
        </w:tc>
        <w:tc>
          <w:tcPr>
            <w:tcW w:type="dxa" w:w="2160"/>
          </w:tcPr>
          <w:p>
            <w:pPr>
              <w:spacing w:before="20" w:after="20"/>
            </w:pPr>
            <w:r/>
            <w:r>
              <w:rPr>
                <w:sz w:val="19"/>
              </w:rPr>
              <w:t>Yahoo Finance</w:t>
            </w:r>
          </w:p>
        </w:tc>
        <w:tc>
          <w:tcPr>
            <w:tcW w:type="dxa" w:w="4752"/>
          </w:tcPr>
          <w:p>
            <w:pPr>
              <w:spacing w:before="20" w:after="20"/>
            </w:pPr>
            <w:r/>
            <w:r>
              <w:rPr>
                <w:sz w:val="19"/>
              </w:rPr>
              <w:t>~390 instruments — equities, ETFs, FX, commodities, crypto, vol</w:t>
            </w:r>
          </w:p>
        </w:tc>
        <w:tc>
          <w:tcPr>
            <w:tcW w:type="dxa" w:w="1008"/>
          </w:tcPr>
          <w:p>
            <w:pPr>
              <w:spacing w:before="20" w:after="20"/>
            </w:pPr>
            <w:r/>
            <w:r>
              <w:rPr>
                <w:sz w:val="19"/>
              </w:rPr>
              <w:t>No key</w:t>
            </w:r>
          </w:p>
        </w:tc>
      </w:tr>
      <w:tr>
        <w:tc>
          <w:tcPr>
            <w:tcW w:type="dxa" w:w="1296"/>
          </w:tcPr>
          <w:p>
            <w:pPr>
              <w:spacing w:before="20" w:after="20"/>
            </w:pPr>
            <w:r/>
            <w:r>
              <w:rPr>
                <w:sz w:val="19"/>
              </w:rPr>
              <w:t>FRED</w:t>
            </w:r>
          </w:p>
        </w:tc>
        <w:tc>
          <w:tcPr>
            <w:tcW w:type="dxa" w:w="2160"/>
          </w:tcPr>
          <w:p>
            <w:pPr>
              <w:spacing w:before="20" w:after="20"/>
            </w:pPr>
            <w:r/>
            <w:r>
              <w:rPr>
                <w:sz w:val="19"/>
              </w:rPr>
              <w:t>St. Louis Fed</w:t>
            </w:r>
          </w:p>
        </w:tc>
        <w:tc>
          <w:tcPr>
            <w:tcW w:type="dxa" w:w="4752"/>
          </w:tcPr>
          <w:p>
            <w:pPr>
              <w:spacing w:before="20" w:after="20"/>
            </w:pPr>
            <w:r/>
            <w:r>
              <w:rPr>
                <w:sz w:val="19"/>
              </w:rPr>
              <w:t>~85 series across yields, inflation, labour, credit, surveys</w:t>
            </w:r>
          </w:p>
        </w:tc>
        <w:tc>
          <w:tcPr>
            <w:tcW w:type="dxa" w:w="1008"/>
          </w:tcPr>
          <w:p>
            <w:pPr>
              <w:spacing w:before="20" w:after="20"/>
            </w:pPr>
            <w:r/>
            <w:r>
              <w:rPr>
                <w:sz w:val="19"/>
              </w:rPr>
              <w:t>Free key</w:t>
            </w:r>
          </w:p>
        </w:tc>
      </w:tr>
      <w:tr>
        <w:tc>
          <w:tcPr>
            <w:tcW w:type="dxa" w:w="1296"/>
          </w:tcPr>
          <w:p>
            <w:pPr>
              <w:spacing w:before="20" w:after="20"/>
            </w:pPr>
            <w:r/>
            <w:r>
              <w:rPr>
                <w:sz w:val="19"/>
              </w:rPr>
              <w:t>OECD</w:t>
            </w:r>
          </w:p>
        </w:tc>
        <w:tc>
          <w:tcPr>
            <w:tcW w:type="dxa" w:w="2160"/>
          </w:tcPr>
          <w:p>
            <w:pPr>
              <w:spacing w:before="20" w:after="20"/>
            </w:pPr>
            <w:r/>
            <w:r>
              <w:rPr>
                <w:sz w:val="19"/>
              </w:rPr>
              <w:t>OECD SDMX</w:t>
            </w:r>
          </w:p>
        </w:tc>
        <w:tc>
          <w:tcPr>
            <w:tcW w:type="dxa" w:w="4752"/>
          </w:tcPr>
          <w:p>
            <w:pPr>
              <w:spacing w:before="20" w:after="20"/>
            </w:pPr>
            <w:r/>
            <w:r>
              <w:rPr>
                <w:sz w:val="19"/>
              </w:rPr>
              <w:t>Composite Leading Indicator, unemployment, 3-month interbank</w:t>
            </w:r>
          </w:p>
        </w:tc>
        <w:tc>
          <w:tcPr>
            <w:tcW w:type="dxa" w:w="1008"/>
          </w:tcPr>
          <w:p>
            <w:pPr>
              <w:spacing w:before="20" w:after="20"/>
            </w:pPr>
            <w:r/>
            <w:r>
              <w:rPr>
                <w:sz w:val="19"/>
              </w:rPr>
              <w:t>No key</w:t>
            </w:r>
          </w:p>
        </w:tc>
      </w:tr>
      <w:tr>
        <w:tc>
          <w:tcPr>
            <w:tcW w:type="dxa" w:w="1296"/>
          </w:tcPr>
          <w:p>
            <w:pPr>
              <w:spacing w:before="20" w:after="20"/>
            </w:pPr>
            <w:r/>
            <w:r>
              <w:rPr>
                <w:sz w:val="19"/>
              </w:rPr>
              <w:t>World Bank</w:t>
            </w:r>
          </w:p>
        </w:tc>
        <w:tc>
          <w:tcPr>
            <w:tcW w:type="dxa" w:w="2160"/>
          </w:tcPr>
          <w:p>
            <w:pPr>
              <w:spacing w:before="20" w:after="20"/>
            </w:pPr>
            <w:r/>
            <w:r>
              <w:rPr>
                <w:sz w:val="19"/>
              </w:rPr>
              <w:t>World Bank WDI</w:t>
            </w:r>
          </w:p>
        </w:tc>
        <w:tc>
          <w:tcPr>
            <w:tcW w:type="dxa" w:w="4752"/>
          </w:tcPr>
          <w:p>
            <w:pPr>
              <w:spacing w:before="20" w:after="20"/>
            </w:pPr>
            <w:r/>
            <w:r>
              <w:rPr>
                <w:sz w:val="19"/>
              </w:rPr>
              <w:t>CPI YoY across 11 economies</w:t>
            </w:r>
          </w:p>
        </w:tc>
        <w:tc>
          <w:tcPr>
            <w:tcW w:type="dxa" w:w="1008"/>
          </w:tcPr>
          <w:p>
            <w:pPr>
              <w:spacing w:before="20" w:after="20"/>
            </w:pPr>
            <w:r/>
            <w:r>
              <w:rPr>
                <w:sz w:val="19"/>
              </w:rPr>
              <w:t>No key</w:t>
            </w:r>
          </w:p>
        </w:tc>
      </w:tr>
      <w:tr>
        <w:tc>
          <w:tcPr>
            <w:tcW w:type="dxa" w:w="1296"/>
          </w:tcPr>
          <w:p>
            <w:pPr>
              <w:spacing w:before="20" w:after="20"/>
            </w:pPr>
            <w:r/>
            <w:r>
              <w:rPr>
                <w:sz w:val="19"/>
              </w:rPr>
              <w:t>IMF</w:t>
            </w:r>
          </w:p>
        </w:tc>
        <w:tc>
          <w:tcPr>
            <w:tcW w:type="dxa" w:w="2160"/>
          </w:tcPr>
          <w:p>
            <w:pPr>
              <w:spacing w:before="20" w:after="20"/>
            </w:pPr>
            <w:r/>
            <w:r>
              <w:rPr>
                <w:sz w:val="19"/>
              </w:rPr>
              <w:t>IMF DataMapper</w:t>
            </w:r>
          </w:p>
        </w:tc>
        <w:tc>
          <w:tcPr>
            <w:tcW w:type="dxa" w:w="4752"/>
          </w:tcPr>
          <w:p>
            <w:pPr>
              <w:spacing w:before="20" w:after="20"/>
            </w:pPr>
            <w:r/>
            <w:r>
              <w:rPr>
                <w:sz w:val="19"/>
              </w:rPr>
              <w:t>Real GDP Growth (annual WEO including projections)</w:t>
            </w:r>
          </w:p>
        </w:tc>
        <w:tc>
          <w:tcPr>
            <w:tcW w:type="dxa" w:w="1008"/>
          </w:tcPr>
          <w:p>
            <w:pPr>
              <w:spacing w:before="20" w:after="20"/>
            </w:pPr>
            <w:r/>
            <w:r>
              <w:rPr>
                <w:sz w:val="19"/>
              </w:rPr>
              <w:t>No key</w:t>
            </w:r>
          </w:p>
        </w:tc>
      </w:tr>
      <w:tr>
        <w:tc>
          <w:tcPr>
            <w:tcW w:type="dxa" w:w="1296"/>
          </w:tcPr>
          <w:p>
            <w:pPr>
              <w:spacing w:before="20" w:after="20"/>
            </w:pPr>
            <w:r/>
            <w:r>
              <w:rPr>
                <w:sz w:val="19"/>
              </w:rPr>
              <w:t>DB.nomics</w:t>
            </w:r>
          </w:p>
        </w:tc>
        <w:tc>
          <w:tcPr>
            <w:tcW w:type="dxa" w:w="2160"/>
          </w:tcPr>
          <w:p>
            <w:pPr>
              <w:spacing w:before="20" w:after="20"/>
            </w:pPr>
            <w:r/>
            <w:r>
              <w:rPr>
                <w:sz w:val="19"/>
              </w:rPr>
              <w:t>DB.nomics REST</w:t>
            </w:r>
          </w:p>
        </w:tc>
        <w:tc>
          <w:tcPr>
            <w:tcW w:type="dxa" w:w="4752"/>
          </w:tcPr>
          <w:p>
            <w:pPr>
              <w:spacing w:before="20" w:after="20"/>
            </w:pPr>
            <w:r/>
            <w:r>
              <w:rPr>
                <w:sz w:val="19"/>
              </w:rPr>
              <w:t>Eurostat surveys, ISM PMIs, IMF/IFS fallback rates</w:t>
            </w:r>
          </w:p>
        </w:tc>
        <w:tc>
          <w:tcPr>
            <w:tcW w:type="dxa" w:w="1008"/>
          </w:tcPr>
          <w:p>
            <w:pPr>
              <w:spacing w:before="20" w:after="20"/>
            </w:pPr>
            <w:r/>
            <w:r>
              <w:rPr>
                <w:sz w:val="19"/>
              </w:rPr>
              <w:t>No key</w:t>
            </w:r>
          </w:p>
        </w:tc>
      </w:tr>
      <w:tr>
        <w:tc>
          <w:tcPr>
            <w:tcW w:type="dxa" w:w="1296"/>
          </w:tcPr>
          <w:p>
            <w:pPr>
              <w:spacing w:before="20" w:after="20"/>
            </w:pPr>
            <w:r/>
            <w:r>
              <w:rPr>
                <w:sz w:val="19"/>
              </w:rPr>
              <w:t>ifo</w:t>
            </w:r>
          </w:p>
        </w:tc>
        <w:tc>
          <w:tcPr>
            <w:tcW w:type="dxa" w:w="2160"/>
          </w:tcPr>
          <w:p>
            <w:pPr>
              <w:spacing w:before="20" w:after="20"/>
            </w:pPr>
            <w:r/>
            <w:r>
              <w:rPr>
                <w:sz w:val="19"/>
              </w:rPr>
              <w:t>ifo Institute</w:t>
            </w:r>
          </w:p>
        </w:tc>
        <w:tc>
          <w:tcPr>
            <w:tcW w:type="dxa" w:w="4752"/>
          </w:tcPr>
          <w:p>
            <w:pPr>
              <w:spacing w:before="20" w:after="20"/>
            </w:pPr>
            <w:r/>
            <w:r>
              <w:rPr>
                <w:sz w:val="19"/>
              </w:rPr>
              <w:t>26 German business-survey series (1991→) via Excel workbook</w:t>
            </w:r>
          </w:p>
        </w:tc>
        <w:tc>
          <w:tcPr>
            <w:tcW w:type="dxa" w:w="1008"/>
          </w:tcPr>
          <w:p>
            <w:pPr>
              <w:spacing w:before="20" w:after="20"/>
            </w:pPr>
            <w:r/>
            <w:r>
              <w:rPr>
                <w:sz w:val="19"/>
              </w:rPr>
              <w:t>No key</w:t>
            </w:r>
          </w:p>
        </w:tc>
      </w:tr>
      <w:tr>
        <w:tc>
          <w:tcPr>
            <w:tcW w:type="dxa" w:w="1296"/>
          </w:tcPr>
          <w:p>
            <w:pPr>
              <w:spacing w:before="20" w:after="20"/>
            </w:pPr>
            <w:r/>
            <w:r>
              <w:rPr>
                <w:sz w:val="19"/>
              </w:rPr>
              <w:t>BoE</w:t>
            </w:r>
          </w:p>
        </w:tc>
        <w:tc>
          <w:tcPr>
            <w:tcW w:type="dxa" w:w="2160"/>
          </w:tcPr>
          <w:p>
            <w:pPr>
              <w:spacing w:before="20" w:after="20"/>
            </w:pPr>
            <w:r/>
            <w:r>
              <w:rPr>
                <w:sz w:val="19"/>
              </w:rPr>
              <w:t>Bank of England IADB</w:t>
            </w:r>
          </w:p>
        </w:tc>
        <w:tc>
          <w:tcPr>
            <w:tcW w:type="dxa" w:w="4752"/>
          </w:tcPr>
          <w:p>
            <w:pPr>
              <w:spacing w:before="20" w:after="20"/>
            </w:pPr>
            <w:r/>
            <w:r>
              <w:rPr>
                <w:sz w:val="19"/>
              </w:rPr>
              <w:t>Bank Rate, SONIA, gilt par + zero-coupon yields</w:t>
            </w:r>
          </w:p>
        </w:tc>
        <w:tc>
          <w:tcPr>
            <w:tcW w:type="dxa" w:w="1008"/>
          </w:tcPr>
          <w:p>
            <w:pPr>
              <w:spacing w:before="20" w:after="20"/>
            </w:pPr>
            <w:r/>
            <w:r>
              <w:rPr>
                <w:sz w:val="19"/>
              </w:rPr>
              <w:t>No key</w:t>
            </w:r>
          </w:p>
        </w:tc>
      </w:tr>
      <w:tr>
        <w:tc>
          <w:tcPr>
            <w:tcW w:type="dxa" w:w="1296"/>
          </w:tcPr>
          <w:p>
            <w:pPr>
              <w:spacing w:before="20" w:after="20"/>
            </w:pPr>
            <w:r/>
            <w:r>
              <w:rPr>
                <w:sz w:val="19"/>
              </w:rPr>
              <w:t>ECB</w:t>
            </w:r>
          </w:p>
        </w:tc>
        <w:tc>
          <w:tcPr>
            <w:tcW w:type="dxa" w:w="2160"/>
          </w:tcPr>
          <w:p>
            <w:pPr>
              <w:spacing w:before="20" w:after="20"/>
            </w:pPr>
            <w:r/>
            <w:r>
              <w:rPr>
                <w:sz w:val="19"/>
              </w:rPr>
              <w:t>ECB Data Portal</w:t>
            </w:r>
          </w:p>
        </w:tc>
        <w:tc>
          <w:tcPr>
            <w:tcW w:type="dxa" w:w="4752"/>
          </w:tcPr>
          <w:p>
            <w:pPr>
              <w:spacing w:before="20" w:after="20"/>
            </w:pPr>
            <w:r/>
            <w:r>
              <w:rPr>
                <w:sz w:val="19"/>
              </w:rPr>
              <w:t>Deposit Facility Rate, AAA yield curve points</w:t>
            </w:r>
          </w:p>
        </w:tc>
        <w:tc>
          <w:tcPr>
            <w:tcW w:type="dxa" w:w="1008"/>
          </w:tcPr>
          <w:p>
            <w:pPr>
              <w:spacing w:before="20" w:after="20"/>
            </w:pPr>
            <w:r/>
            <w:r>
              <w:rPr>
                <w:sz w:val="19"/>
              </w:rPr>
              <w:t>No key</w:t>
            </w:r>
          </w:p>
        </w:tc>
      </w:tr>
      <w:tr>
        <w:tc>
          <w:tcPr>
            <w:tcW w:type="dxa" w:w="1296"/>
          </w:tcPr>
          <w:p>
            <w:pPr>
              <w:spacing w:before="20" w:after="20"/>
            </w:pPr>
            <w:r/>
            <w:r>
              <w:rPr>
                <w:sz w:val="19"/>
              </w:rPr>
              <w:t>BoJ</w:t>
            </w:r>
          </w:p>
        </w:tc>
        <w:tc>
          <w:tcPr>
            <w:tcW w:type="dxa" w:w="2160"/>
          </w:tcPr>
          <w:p>
            <w:pPr>
              <w:spacing w:before="20" w:after="20"/>
            </w:pPr>
            <w:r/>
            <w:r>
              <w:rPr>
                <w:sz w:val="19"/>
              </w:rPr>
              <w:t>Bank of Japan Time-Series</w:t>
            </w:r>
          </w:p>
        </w:tc>
        <w:tc>
          <w:tcPr>
            <w:tcW w:type="dxa" w:w="4752"/>
          </w:tcPr>
          <w:p>
            <w:pPr>
              <w:spacing w:before="20" w:after="20"/>
            </w:pPr>
            <w:r/>
            <w:r>
              <w:rPr>
                <w:sz w:val="19"/>
              </w:rPr>
              <w:t>Policy Rate, Tankan Large Manufacturer DI</w:t>
            </w:r>
          </w:p>
        </w:tc>
        <w:tc>
          <w:tcPr>
            <w:tcW w:type="dxa" w:w="1008"/>
          </w:tcPr>
          <w:p>
            <w:pPr>
              <w:spacing w:before="20" w:after="20"/>
            </w:pPr>
            <w:r/>
            <w:r>
              <w:rPr>
                <w:sz w:val="19"/>
              </w:rPr>
              <w:t>No key</w:t>
            </w:r>
          </w:p>
        </w:tc>
      </w:tr>
      <w:tr>
        <w:tc>
          <w:tcPr>
            <w:tcW w:type="dxa" w:w="1296"/>
          </w:tcPr>
          <w:p>
            <w:pPr>
              <w:spacing w:before="20" w:after="20"/>
            </w:pPr>
            <w:r/>
            <w:r>
              <w:rPr>
                <w:sz w:val="19"/>
              </w:rPr>
              <w:t>e-Stat</w:t>
            </w:r>
          </w:p>
        </w:tc>
        <w:tc>
          <w:tcPr>
            <w:tcW w:type="dxa" w:w="2160"/>
          </w:tcPr>
          <w:p>
            <w:pPr>
              <w:spacing w:before="20" w:after="20"/>
            </w:pPr>
            <w:r/>
            <w:r>
              <w:rPr>
                <w:sz w:val="19"/>
              </w:rPr>
              <w:t>Statistics Bureau Japan</w:t>
            </w:r>
          </w:p>
        </w:tc>
        <w:tc>
          <w:tcPr>
            <w:tcW w:type="dxa" w:w="4752"/>
          </w:tcPr>
          <w:p>
            <w:pPr>
              <w:spacing w:before="20" w:after="20"/>
            </w:pPr>
            <w:r/>
            <w:r>
              <w:rPr>
                <w:sz w:val="19"/>
              </w:rPr>
              <w:t>METI Indices of Industrial Production (1955→)</w:t>
            </w:r>
          </w:p>
        </w:tc>
        <w:tc>
          <w:tcPr>
            <w:tcW w:type="dxa" w:w="1008"/>
          </w:tcPr>
          <w:p>
            <w:pPr>
              <w:spacing w:before="20" w:after="20"/>
            </w:pPr>
            <w:r/>
            <w:r>
              <w:rPr>
                <w:sz w:val="19"/>
              </w:rPr>
              <w:t>Free App ID</w:t>
            </w:r>
          </w:p>
        </w:tc>
      </w:tr>
    </w:tbl>
    <w:p/>
    <w:p>
      <w:pPr>
        <w:pStyle w:val="Heading2"/>
        <w:spacing w:before="200" w:after="40"/>
      </w:pPr>
      <w:r>
        <w:t>4.4  Country and currency coverage</w:t>
      </w:r>
    </w:p>
    <w:p>
      <w:pPr>
        <w:spacing w:after="120"/>
      </w:pPr>
      <w:r>
        <w:rPr>
          <w:b w:val="0"/>
          <w:i w:val="0"/>
          <w:sz w:val="21"/>
        </w:rPr>
        <w:t>The country registry covers twelve economies: the United States, United Kingdom, Germany, France, Italy, Japan, China, Australia, Canada, Switzerland, the Eurozone aggregate (EA19/EA20 depending on the source's convention), and India (added April 2026 to support the India 10-year bond yield series). The registry is the single source of truth: the World Bank uses code EMU for the Eurozone and the IMF DataMapper uses code EURO; both mappings live in macro_library_countries.csv rather than in Python.</w:t>
      </w:r>
    </w:p>
    <w:p>
      <w:pPr>
        <w:spacing w:after="120"/>
      </w:pPr>
      <w:r>
        <w:rPr>
          <w:b w:val="0"/>
          <w:i w:val="0"/>
          <w:sz w:val="21"/>
        </w:rPr>
        <w:t>Foreign-exchange coverage spans eighteen currencies, of which fifteen are indirect-quote (i.e. expressed as foreign currency per US dollar — JPY, CNY, CAD, INR, KRW, HKD, BRL, TWD, MXN, ZAR, TRY, IDR, RUB, SAR) and three are direct-quote (GBP, EUR, AUD). For each non-USD instrument the comp pipeline computes a USD-adjusted return alongside the local-currency return. The identity used is:</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sSub>
                  <m:e>
                    <m:r>
                      <m:t>r</m:t>
                    </m:r>
                  </m:e>
                  <m:sub>
                    <m:r>
                      <m:rPr>
                        <m:sty m:val="p"/>
                      </m:rPr>
                      <m:t>USD</m:t>
                    </m:r>
                  </m:sub>
                </m:sSub>
                <m:r>
                  <m:t>=</m:t>
                </m:r>
                <m:d>
                  <m:dPr>
                    <m:begChr m:val="("/>
                    <m:endChr m:val=")"/>
                  </m:dPr>
                  <m:e>
                    <m:r>
                      <m:rPr>
                        <m:sty m:val="p"/>
                      </m:rPr>
                      <m:t>1+</m:t>
                    </m:r>
                    <m:sSub>
                      <m:e>
                        <m:r>
                          <m:t>r</m:t>
                        </m:r>
                      </m:e>
                      <m:sub>
                        <m:r>
                          <m:rPr>
                            <m:sty m:val="p"/>
                          </m:rPr>
                          <m:t>local</m:t>
                        </m:r>
                      </m:sub>
                    </m:sSub>
                  </m:e>
                </m:d>
                <m:d>
                  <m:dPr>
                    <m:begChr m:val="("/>
                    <m:endChr m:val=")"/>
                  </m:dPr>
                  <m:e>
                    <m:r>
                      <m:rPr>
                        <m:sty m:val="p"/>
                      </m:rPr>
                      <m:t>1+</m:t>
                    </m:r>
                    <m:sSub>
                      <m:e>
                        <m:r>
                          <m:t>r</m:t>
                        </m:r>
                      </m:e>
                      <m:sub>
                        <m:r>
                          <m:rPr>
                            <m:sty m:val="p"/>
                          </m:rPr>
                          <m:t>FX</m:t>
                        </m:r>
                      </m:sub>
                    </m:sSub>
                  </m:e>
                </m:d>
                <m:r>
                  <m:t>−1</m:t>
                </m:r>
              </m:oMath>
            </m:oMathPara>
          </w:p>
        </w:tc>
        <w:tc>
          <w:tcPr>
            <w:tcW w:type="dxa" w:w="4536"/>
            <w:tcBorders>
              <w:top w:val="nil"/>
              <w:left w:val="nil"/>
              <w:bottom w:val="nil"/>
              <w:right w:val="nil"/>
            </w:tcBorders>
          </w:tcPr>
          <w:p>
            <w:pPr>
              <w:jc w:val="right"/>
            </w:pPr>
            <w:r>
              <w:rPr>
                <w:sz w:val="20"/>
              </w:rPr>
              <w:t>(4.1)</w:t>
            </w:r>
          </w:p>
        </w:tc>
      </w:tr>
    </w:tbl>
    <w:p/>
    <w:p>
      <w:pPr>
        <w:spacing w:after="120"/>
      </w:pPr>
      <w:r>
        <w:rPr>
          <w:b w:val="0"/>
          <w:i w:val="0"/>
          <w:sz w:val="21"/>
        </w:rPr>
        <w:t>Indirect-quote currencies require inversion of the FX rate before applying the identity; the inversion is automatic, driven by membership in the COMP_FCY_PER_USD set in library_utils.py.</w:t>
      </w:r>
    </w:p>
    <w:p>
      <w:pPr>
        <w:spacing w:after="120"/>
      </w:pPr>
      <w:r>
        <w:rPr>
          <w:b w:val="0"/>
          <w:i w:val="0"/>
          <w:sz w:val="21"/>
        </w:rPr>
        <w:t>A second pre-processing rule applies to UK-listed instruments. London Stock Exchange tickers (those ending in .L) report prices in pence (GBp) rather than pounds (GBP) for some instruments and not others. Rather than maintaining a hardcoded list of pence-denominated tickers, the pipeline applies the dynamic correction:</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sSup>
                  <m:e>
                    <m:r>
                      <m:t>x</m:t>
                    </m:r>
                  </m:e>
                  <m:sup>
                    <m:r>
                      <m:t>′</m:t>
                    </m:r>
                  </m:sup>
                </m:sSup>
                <m:r>
                  <m:t>=</m:t>
                </m:r>
                <m:d>
                  <m:dPr>
                    <m:begChr m:val="{"/>
                    <m:endChr m:val=""/>
                  </m:dPr>
                  <m:e>
                    <m:eqArr>
                      <m:eqArrPr>
                        <m:baseJc m:val="center"/>
                      </m:eqArrPr>
                      <m:e>
                        <m:f>
                          <m:num>
                            <m:r>
                              <m:t>x</m:t>
                            </m:r>
                          </m:num>
                          <m:den>
                            <m:r>
                              <m:rPr>
                                <m:sty m:val="p"/>
                              </m:rPr>
                              <m:t>100</m:t>
                            </m:r>
                          </m:den>
                        </m:f>
                        <m:r>
                          <m:rPr>
                            <m:sty m:val="p"/>
                          </m:rPr>
                          <m:t>,   if ticker ends ‘.L’ and median(x) &gt; 50</m:t>
                        </m:r>
                      </m:e>
                      <m:e>
                        <m:r>
                          <m:t>x</m:t>
                        </m:r>
                        <m:r>
                          <m:rPr>
                            <m:sty m:val="p"/>
                          </m:rPr>
                          <m:t>,   otherwise</m:t>
                        </m:r>
                      </m:e>
                    </m:eqArr>
                  </m:e>
                </m:d>
              </m:oMath>
            </m:oMathPara>
          </w:p>
        </w:tc>
        <w:tc>
          <w:tcPr>
            <w:tcW w:type="dxa" w:w="4536"/>
            <w:tcBorders>
              <w:top w:val="nil"/>
              <w:left w:val="nil"/>
              <w:bottom w:val="nil"/>
              <w:right w:val="nil"/>
            </w:tcBorders>
          </w:tcPr>
          <w:p>
            <w:pPr>
              <w:jc w:val="right"/>
            </w:pPr>
            <w:r>
              <w:rPr>
                <w:sz w:val="20"/>
              </w:rPr>
              <w:t>(4.2)</w:t>
            </w:r>
          </w:p>
        </w:tc>
      </w:tr>
    </w:tbl>
    <w:p/>
    <w:p>
      <w:pPr>
        <w:spacing w:after="120"/>
      </w:pPr>
      <w:r>
        <w:rPr>
          <w:b w:val="0"/>
          <w:i w:val="0"/>
          <w:sz w:val="21"/>
        </w:rPr>
        <w:t>The threshold of fifty is empirically chosen: no genuine GBP-denominated UK security has had a median price below fifty pounds across the available history, while every pence-denominated security has.</w:t>
      </w:r>
    </w:p>
    <w:p>
      <w:pPr>
        <w:pStyle w:val="Heading2"/>
        <w:spacing w:before="200" w:after="40"/>
      </w:pPr>
      <w:r>
        <w:t>4.5  Source-fallback chain</w:t>
      </w:r>
    </w:p>
    <w:p>
      <w:pPr>
        <w:spacing w:after="120"/>
      </w:pPr>
      <w:r>
        <w:rPr>
          <w:b w:val="0"/>
          <w:i w:val="0"/>
          <w:sz w:val="21"/>
        </w:rPr>
        <w:t>Because nine FRED series carrying internationally-mirrored macro data have stopped updating (the OECD-mirror series for the Japanese policy rate, the Chinese policy rate, the UK Bank Rate, Eurozone HICP, German industrial production and others), the pipeline carries a per-indicator fallback registry in source_fallbacks.csv. Each row records the canonical tier-zero source for an indicator together with up to three fallback sources (T1, T2, T3). The runtime currently realises the chain implicitly through the read order in the unified coordinator — later sources overwrite earlier sources at the column level. Of the nine forcing-function rows, seven have been resolved through tier-one and tier-two fallbacks (DB.nomics IMF/IFS, Eurostat, the BoE IADB, the ECB Data Portal, the BoJ Time-Series API, and e-Stat); two remain accepted gaps because the underlying Chinese statistical agencies publish no free programmatic interface.</w:t>
      </w:r>
    </w:p>
    <w:p>
      <w:r>
        <w:br w:type="page"/>
      </w:r>
    </w:p>
    <w:p>
      <w:pPr>
        <w:pStyle w:val="Heading1"/>
        <w:spacing w:before="0" w:after="160"/>
      </w:pPr>
      <w:r>
        <w:t>5.  Pipeline Design Principles</w:t>
      </w:r>
    </w:p>
    <w:p>
      <w:pPr>
        <w:spacing w:after="120"/>
      </w:pPr>
      <w:r>
        <w:rPr>
          <w:b w:val="0"/>
          <w:i w:val="0"/>
          <w:sz w:val="21"/>
        </w:rPr>
        <w:t>Nine recurring design patterns are used across the codebase. They are documented here once because each pattern appears in multiple modules; pattern-by-pattern documentation in each module would duplicate without adding clarity.</w:t>
      </w:r>
    </w:p>
    <w:p>
      <w:pPr>
        <w:pStyle w:val="Heading2"/>
        <w:spacing w:before="200" w:after="40"/>
      </w:pPr>
      <w:r>
        <w:t>5.1  Phase isolation</w:t>
      </w:r>
    </w:p>
    <w:p>
      <w:pPr>
        <w:spacing w:after="120"/>
      </w:pPr>
      <w:r>
        <w:rPr>
          <w:b w:val="0"/>
          <w:i w:val="0"/>
          <w:sz w:val="21"/>
        </w:rPr>
        <w:t>Every runtime phase after the master orchestrator's main function is wrapped in a module-level try/except block that catches every exception, logs it, and proceeds to the next phase. This pattern is the load-bearing reliability mechanism of the pipeline. If the macro-economic phase crashes — say, because OECD SDMX is briefly unavailable — the simple pipeline, the comp pipeline, and the comp historical phase have already completed and their outputs are already on disk. The audit subsequently surfaces the macro-economic failure, but no data the operator depends on has been lost.</w:t>
      </w:r>
    </w:p>
    <w:p>
      <w:pPr>
        <w:pStyle w:val="Heading2"/>
        <w:spacing w:before="200" w:after="40"/>
      </w:pPr>
      <w:r>
        <w:t>5.2  Per-series exception containment</w:t>
      </w:r>
    </w:p>
    <w:p>
      <w:pPr>
        <w:spacing w:after="120"/>
      </w:pPr>
      <w:r>
        <w:rPr>
          <w:b w:val="0"/>
          <w:i w:val="0"/>
          <w:sz w:val="21"/>
        </w:rPr>
        <w:t>Inside each phase, every individual fetch — one ticker, one FRED series, one OECD country fan-out, one indicator computation — is itself wrapped in a try/except block that logs the failure and continues. A single bad series never kills the rest of the output. This is the difference between ‘the pipeline failed’ and ‘the pipeline succeeded with twenty rows missing’; the latter is a strictly more useful state because the missing rows are visible in the audit and can be remediated, while preserved rows continue to inform analysis.</w:t>
      </w:r>
    </w:p>
    <w:p>
      <w:pPr>
        <w:pStyle w:val="Heading2"/>
        <w:spacing w:before="200" w:after="40"/>
      </w:pPr>
      <w:r>
        <w:t>5.3  Friday-spine alignment</w:t>
      </w:r>
    </w:p>
    <w:p>
      <w:pPr>
        <w:spacing w:after="120"/>
      </w:pPr>
      <w:r>
        <w:rPr>
          <w:b w:val="0"/>
          <w:i w:val="0"/>
          <w:sz w:val="21"/>
        </w:rPr>
        <w:t>All historical data is aligned to a weekly index of Friday dates. For a series sampled at any cadence, the value at Friday t is taken as the most recent observation on or before t, with forward-fill into Friday slots where the source has not yet released. Formally:</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sSubSup>
                  <m:e>
                    <m:r>
                      <m:t>S</m:t>
                    </m:r>
                  </m:e>
                  <m:sub>
                    <m:r>
                      <m:t>t</m:t>
                    </m:r>
                  </m:sub>
                  <m:sup>
                    <m:r>
                      <m:rPr>
                        <m:sty m:val="p"/>
                      </m:rPr>
                      <m:t>F</m:t>
                    </m:r>
                  </m:sup>
                </m:sSubSup>
                <m:r>
                  <m:t>=</m:t>
                </m:r>
                <m:r>
                  <m:t>S</m:t>
                </m:r>
                <m:d>
                  <m:dPr>
                    <m:begChr m:val="("/>
                    <m:endChr m:val=")"/>
                  </m:dPr>
                  <m:e>
                    <m:r>
                      <m:t>τ</m:t>
                    </m:r>
                  </m:e>
                </m:d>
                <m:r>
                  <m:rPr>
                    <m:sty m:val="p"/>
                  </m:rPr>
                  <m:t>,   τ = max</m:t>
                </m:r>
                <m:d>
                  <m:dPr>
                    <m:begChr m:val="("/>
                    <m:endChr m:val=")"/>
                  </m:dPr>
                  <m:e>
                    <m:r>
                      <m:rPr>
                        <m:sty m:val="p"/>
                      </m:rPr>
                      <m:t>s ≤ t : S(s) defined</m:t>
                    </m:r>
                  </m:e>
                </m:d>
              </m:oMath>
            </m:oMathPara>
          </w:p>
        </w:tc>
        <w:tc>
          <w:tcPr>
            <w:tcW w:type="dxa" w:w="4536"/>
            <w:tcBorders>
              <w:top w:val="nil"/>
              <w:left w:val="nil"/>
              <w:bottom w:val="nil"/>
              <w:right w:val="nil"/>
            </w:tcBorders>
          </w:tcPr>
          <w:p>
            <w:pPr>
              <w:jc w:val="right"/>
            </w:pPr>
            <w:r>
              <w:rPr>
                <w:sz w:val="20"/>
              </w:rPr>
              <w:t>(5.1)</w:t>
            </w:r>
          </w:p>
        </w:tc>
      </w:tr>
    </w:tbl>
    <w:p/>
    <w:p>
      <w:pPr>
        <w:spacing w:after="120"/>
      </w:pPr>
      <w:r>
        <w:rPr>
          <w:b w:val="0"/>
          <w:i w:val="0"/>
          <w:sz w:val="21"/>
        </w:rPr>
        <w:t>The Friday convention is chosen because end-of-week is the least ambiguous market data point for cross-asset analysis. The forward-fill is acceptable in conjunction with the value-change staleness audit (Section 8): any series that has stopped moving is detected and flagged regardless of whether its forward-filled cells continue to populate.</w:t>
      </w:r>
    </w:p>
    <w:p>
      <w:pPr>
        <w:pStyle w:val="Heading2"/>
        <w:spacing w:before="200" w:after="40"/>
      </w:pPr>
      <w:r>
        <w:t>5.4  Metadata prefix rows</w:t>
      </w:r>
    </w:p>
    <w:p>
      <w:pPr>
        <w:spacing w:after="120"/>
      </w:pPr>
      <w:r>
        <w:rPr>
          <w:b w:val="0"/>
          <w:i w:val="0"/>
          <w:sz w:val="21"/>
        </w:rPr>
        <w:t>History tabs in Google Sheets carry metadata rows above the data block. The macro-economic history carries fourteen prefix rows (Column ID, Series ID, Source, Indicator, Country, Country Name, Region, Category, Subcategory, Concept, cycle_timing, Units, Frequency, Last Updated). The market-data comp history carries ten prefix rows. These rows are visible to a human reader of the spreadsheet, support the explorer's by-concept and by-region grouping, and are consistently skipped by every code path that reads the history file via an explicit header offset.</w:t>
      </w:r>
    </w:p>
    <w:p>
      <w:pPr>
        <w:pStyle w:val="Heading2"/>
        <w:spacing w:before="200" w:after="40"/>
      </w:pPr>
      <w:r>
        <w:t>5.5  Library-driven configuration</w:t>
      </w:r>
    </w:p>
    <w:p>
      <w:pPr>
        <w:spacing w:after="120"/>
      </w:pPr>
      <w:r>
        <w:rPr>
          <w:b w:val="0"/>
          <w:i w:val="0"/>
          <w:sz w:val="21"/>
        </w:rPr>
        <w:t>Beyond the registry rule of Section 4.1, several configuration knobs that would conventionally live in code have been moved to CSV columns. The simple-pipeline instrument selection is a boolean column on the master library. The validation status of each ticker — CONFIRMED, PENDING, UNAVAILABLE — is a column. Per-row overrides on freshness tolerances are columns on the per-source library files. The result is that operator interventions — disabling a broken series, widening a tolerance for a slow publisher, swapping in a proxy ticker — are CSV edits rather than code commits.</w:t>
      </w:r>
    </w:p>
    <w:p>
      <w:pPr>
        <w:pStyle w:val="Heading2"/>
        <w:spacing w:before="200" w:after="40"/>
      </w:pPr>
      <w:r>
        <w:t>5.6  Diff-check CSV commits</w:t>
      </w:r>
    </w:p>
    <w:p>
      <w:pPr>
        <w:spacing w:after="120"/>
      </w:pPr>
      <w:r>
        <w:rPr>
          <w:b w:val="0"/>
          <w:i w:val="0"/>
          <w:sz w:val="21"/>
        </w:rPr>
        <w:t>Output CSV files are only committed back to git when their content has actually changed. This avoids a noisy commit history during weekends and holidays when markets are closed and series have not moved, while still committing every weekday's genuine update. The diff check is byte-level after a deterministic sort and serialisation, so it is robust to ordering instabilities in upstream APIs.</w:t>
      </w:r>
    </w:p>
    <w:p>
      <w:pPr>
        <w:pStyle w:val="Heading2"/>
        <w:spacing w:before="200" w:after="40"/>
      </w:pPr>
      <w:r>
        <w:t>5.7  Sheets write pattern</w:t>
      </w:r>
    </w:p>
    <w:p>
      <w:pPr>
        <w:spacing w:after="120"/>
      </w:pPr>
      <w:r>
        <w:rPr>
          <w:b w:val="0"/>
          <w:i w:val="0"/>
          <w:sz w:val="21"/>
        </w:rPr>
        <w:t>All writers to Google Sheets follow a five-step pattern: check the target tab against a protected-tab frozenset and abort if matched, ensure the tab exists (creating it if necessary), clear the existing range, write the new data, and finally sweep a separate legacy-tab frozenset on the way out so retired tabs cannot accumulate. The two frozensets — SHEETS_PROTECTED_TABS and SHEETS_LEGACY_TABS_TO_DELETE — are defined once in library_utils.py and imported by every writer. Adding or retiring a tab is a one-line edit there; no other writer needs to know.</w:t>
      </w:r>
    </w:p>
    <w:p>
      <w:pPr>
        <w:pStyle w:val="Heading2"/>
        <w:spacing w:before="200" w:after="40"/>
      </w:pPr>
      <w:r>
        <w:t>5.8  Rate limiting and exponential backoff</w:t>
      </w:r>
    </w:p>
    <w:p>
      <w:pPr>
        <w:spacing w:after="120"/>
      </w:pPr>
      <w:r>
        <w:rPr>
          <w:b w:val="0"/>
          <w:i w:val="0"/>
          <w:sz w:val="21"/>
        </w:rPr>
        <w:t>Every external HTTP call is rate-limited with a per-source base delay and retried with exponential backoff on transient failures (HTTP 429 or 5xx). The delays and retry budgets are tuned per source to its published or empirically-observed rate envelope:</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D9E2F3"/>
          </w:tcPr>
          <w:p>
            <w:pPr>
              <w:spacing w:before="40" w:after="40"/>
            </w:pPr>
            <w:r/>
            <w:r>
              <w:rPr>
                <w:b/>
                <w:sz w:val="19"/>
              </w:rPr>
              <w:t>Source</w:t>
            </w:r>
          </w:p>
        </w:tc>
        <w:tc>
          <w:tcPr>
            <w:tcW w:type="dxa" w:w="1584"/>
            <w:shd w:val="clear" w:color="auto" w:fill="D9E2F3"/>
          </w:tcPr>
          <w:p>
            <w:pPr>
              <w:spacing w:before="40" w:after="40"/>
            </w:pPr>
            <w:r/>
            <w:r>
              <w:rPr>
                <w:b/>
                <w:sz w:val="19"/>
              </w:rPr>
              <w:t>Base delay</w:t>
            </w:r>
          </w:p>
        </w:tc>
        <w:tc>
          <w:tcPr>
            <w:tcW w:type="dxa" w:w="2880"/>
            <w:shd w:val="clear" w:color="auto" w:fill="D9E2F3"/>
          </w:tcPr>
          <w:p>
            <w:pPr>
              <w:spacing w:before="40" w:after="40"/>
            </w:pPr>
            <w:r/>
            <w:r>
              <w:rPr>
                <w:b/>
                <w:sz w:val="19"/>
              </w:rPr>
              <w:t>Backoff schedule</w:t>
            </w:r>
          </w:p>
        </w:tc>
        <w:tc>
          <w:tcPr>
            <w:tcW w:type="dxa" w:w="1728"/>
            <w:shd w:val="clear" w:color="auto" w:fill="D9E2F3"/>
          </w:tcPr>
          <w:p>
            <w:pPr>
              <w:spacing w:before="40" w:after="40"/>
            </w:pPr>
            <w:r/>
            <w:r>
              <w:rPr>
                <w:b/>
                <w:sz w:val="19"/>
              </w:rPr>
              <w:t>Max retries</w:t>
            </w:r>
          </w:p>
        </w:tc>
      </w:tr>
      <w:tr>
        <w:tc>
          <w:tcPr>
            <w:tcW w:type="dxa" w:w="1872"/>
          </w:tcPr>
          <w:p>
            <w:pPr>
              <w:spacing w:before="20" w:after="20"/>
            </w:pPr>
            <w:r/>
            <w:r>
              <w:rPr>
                <w:sz w:val="19"/>
              </w:rPr>
              <w:t>yfinance</w:t>
            </w:r>
          </w:p>
        </w:tc>
        <w:tc>
          <w:tcPr>
            <w:tcW w:type="dxa" w:w="1584"/>
          </w:tcPr>
          <w:p>
            <w:pPr>
              <w:spacing w:before="20" w:after="20"/>
            </w:pPr>
            <w:r/>
            <w:r>
              <w:rPr>
                <w:sz w:val="19"/>
              </w:rPr>
              <w:t>0.3 s</w:t>
            </w:r>
          </w:p>
        </w:tc>
        <w:tc>
          <w:tcPr>
            <w:tcW w:type="dxa" w:w="2880"/>
          </w:tcPr>
          <w:p>
            <w:pPr>
              <w:spacing w:before="20" w:after="20"/>
            </w:pPr>
            <w:r/>
            <w:r>
              <w:rPr>
                <w:sz w:val="19"/>
              </w:rPr>
              <w:t>—</w:t>
            </w:r>
          </w:p>
        </w:tc>
        <w:tc>
          <w:tcPr>
            <w:tcW w:type="dxa" w:w="1728"/>
          </w:tcPr>
          <w:p>
            <w:pPr>
              <w:spacing w:before="20" w:after="20"/>
            </w:pPr>
            <w:r/>
            <w:r>
              <w:rPr>
                <w:sz w:val="19"/>
              </w:rPr>
              <w:t>3</w:t>
            </w:r>
          </w:p>
        </w:tc>
      </w:tr>
      <w:tr>
        <w:tc>
          <w:tcPr>
            <w:tcW w:type="dxa" w:w="1872"/>
          </w:tcPr>
          <w:p>
            <w:pPr>
              <w:spacing w:before="20" w:after="20"/>
            </w:pPr>
            <w:r/>
            <w:r>
              <w:rPr>
                <w:sz w:val="19"/>
              </w:rPr>
              <w:t>FRED</w:t>
            </w:r>
          </w:p>
        </w:tc>
        <w:tc>
          <w:tcPr>
            <w:tcW w:type="dxa" w:w="1584"/>
          </w:tcPr>
          <w:p>
            <w:pPr>
              <w:spacing w:before="20" w:after="20"/>
            </w:pPr>
            <w:r/>
            <w:r>
              <w:rPr>
                <w:sz w:val="19"/>
              </w:rPr>
              <w:t>0.6 s</w:t>
            </w:r>
          </w:p>
        </w:tc>
        <w:tc>
          <w:tcPr>
            <w:tcW w:type="dxa" w:w="2880"/>
          </w:tcPr>
          <w:p>
            <w:pPr>
              <w:spacing w:before="20" w:after="20"/>
            </w:pPr>
            <w:r/>
            <w:r>
              <w:rPr>
                <w:sz w:val="19"/>
              </w:rPr>
              <w:t>2, 4, 8, 16, 32 s</w:t>
            </w:r>
          </w:p>
        </w:tc>
        <w:tc>
          <w:tcPr>
            <w:tcW w:type="dxa" w:w="1728"/>
          </w:tcPr>
          <w:p>
            <w:pPr>
              <w:spacing w:before="20" w:after="20"/>
            </w:pPr>
            <w:r/>
            <w:r>
              <w:rPr>
                <w:sz w:val="19"/>
              </w:rPr>
              <w:t>5</w:t>
            </w:r>
          </w:p>
        </w:tc>
      </w:tr>
      <w:tr>
        <w:tc>
          <w:tcPr>
            <w:tcW w:type="dxa" w:w="1872"/>
          </w:tcPr>
          <w:p>
            <w:pPr>
              <w:spacing w:before="20" w:after="20"/>
            </w:pPr>
            <w:r/>
            <w:r>
              <w:rPr>
                <w:sz w:val="19"/>
              </w:rPr>
              <w:t>OECD</w:t>
            </w:r>
          </w:p>
        </w:tc>
        <w:tc>
          <w:tcPr>
            <w:tcW w:type="dxa" w:w="1584"/>
          </w:tcPr>
          <w:p>
            <w:pPr>
              <w:spacing w:before="20" w:after="20"/>
            </w:pPr>
            <w:r/>
            <w:r>
              <w:rPr>
                <w:sz w:val="19"/>
              </w:rPr>
              <w:t>4.0 s</w:t>
            </w:r>
          </w:p>
        </w:tc>
        <w:tc>
          <w:tcPr>
            <w:tcW w:type="dxa" w:w="2880"/>
          </w:tcPr>
          <w:p>
            <w:pPr>
              <w:spacing w:before="20" w:after="20"/>
            </w:pPr>
            <w:r/>
            <w:r>
              <w:rPr>
                <w:sz w:val="19"/>
              </w:rPr>
              <w:t>2, 4, 8, 16, 32 s</w:t>
            </w:r>
          </w:p>
        </w:tc>
        <w:tc>
          <w:tcPr>
            <w:tcW w:type="dxa" w:w="1728"/>
          </w:tcPr>
          <w:p>
            <w:pPr>
              <w:spacing w:before="20" w:after="20"/>
            </w:pPr>
            <w:r/>
            <w:r>
              <w:rPr>
                <w:sz w:val="19"/>
              </w:rPr>
              <w:t>5</w:t>
            </w:r>
          </w:p>
        </w:tc>
      </w:tr>
      <w:tr>
        <w:tc>
          <w:tcPr>
            <w:tcW w:type="dxa" w:w="1872"/>
          </w:tcPr>
          <w:p>
            <w:pPr>
              <w:spacing w:before="20" w:after="20"/>
            </w:pPr>
            <w:r/>
            <w:r>
              <w:rPr>
                <w:sz w:val="19"/>
              </w:rPr>
              <w:t>World Bank</w:t>
            </w:r>
          </w:p>
        </w:tc>
        <w:tc>
          <w:tcPr>
            <w:tcW w:type="dxa" w:w="1584"/>
          </w:tcPr>
          <w:p>
            <w:pPr>
              <w:spacing w:before="20" w:after="20"/>
            </w:pPr>
            <w:r/>
            <w:r>
              <w:rPr>
                <w:sz w:val="19"/>
              </w:rPr>
              <w:t>1.0 s</w:t>
            </w:r>
          </w:p>
        </w:tc>
        <w:tc>
          <w:tcPr>
            <w:tcW w:type="dxa" w:w="2880"/>
          </w:tcPr>
          <w:p>
            <w:pPr>
              <w:spacing w:before="20" w:after="20"/>
            </w:pPr>
            <w:r/>
            <w:r>
              <w:rPr>
                <w:sz w:val="19"/>
              </w:rPr>
              <w:t>2, 4, 8, 16, 32 s</w:t>
            </w:r>
          </w:p>
        </w:tc>
        <w:tc>
          <w:tcPr>
            <w:tcW w:type="dxa" w:w="1728"/>
          </w:tcPr>
          <w:p>
            <w:pPr>
              <w:spacing w:before="20" w:after="20"/>
            </w:pPr>
            <w:r/>
            <w:r>
              <w:rPr>
                <w:sz w:val="19"/>
              </w:rPr>
              <w:t>5</w:t>
            </w:r>
          </w:p>
        </w:tc>
      </w:tr>
      <w:tr>
        <w:tc>
          <w:tcPr>
            <w:tcW w:type="dxa" w:w="1872"/>
          </w:tcPr>
          <w:p>
            <w:pPr>
              <w:spacing w:before="20" w:after="20"/>
            </w:pPr>
            <w:r/>
            <w:r>
              <w:rPr>
                <w:sz w:val="19"/>
              </w:rPr>
              <w:t>IMF</w:t>
            </w:r>
          </w:p>
        </w:tc>
        <w:tc>
          <w:tcPr>
            <w:tcW w:type="dxa" w:w="1584"/>
          </w:tcPr>
          <w:p>
            <w:pPr>
              <w:spacing w:before="20" w:after="20"/>
            </w:pPr>
            <w:r/>
            <w:r>
              <w:rPr>
                <w:sz w:val="19"/>
              </w:rPr>
              <w:t>1.0 s</w:t>
            </w:r>
          </w:p>
        </w:tc>
        <w:tc>
          <w:tcPr>
            <w:tcW w:type="dxa" w:w="2880"/>
          </w:tcPr>
          <w:p>
            <w:pPr>
              <w:spacing w:before="20" w:after="20"/>
            </w:pPr>
            <w:r/>
            <w:r>
              <w:rPr>
                <w:sz w:val="19"/>
              </w:rPr>
              <w:t>2, 4, 8, 16, 32 s</w:t>
            </w:r>
          </w:p>
        </w:tc>
        <w:tc>
          <w:tcPr>
            <w:tcW w:type="dxa" w:w="1728"/>
          </w:tcPr>
          <w:p>
            <w:pPr>
              <w:spacing w:before="20" w:after="20"/>
            </w:pPr>
            <w:r/>
            <w:r>
              <w:rPr>
                <w:sz w:val="19"/>
              </w:rPr>
              <w:t>5</w:t>
            </w:r>
          </w:p>
        </w:tc>
      </w:tr>
      <w:tr>
        <w:tc>
          <w:tcPr>
            <w:tcW w:type="dxa" w:w="1872"/>
          </w:tcPr>
          <w:p>
            <w:pPr>
              <w:spacing w:before="20" w:after="20"/>
            </w:pPr>
            <w:r/>
            <w:r>
              <w:rPr>
                <w:sz w:val="19"/>
              </w:rPr>
              <w:t>ECB</w:t>
            </w:r>
          </w:p>
        </w:tc>
        <w:tc>
          <w:tcPr>
            <w:tcW w:type="dxa" w:w="1584"/>
          </w:tcPr>
          <w:p>
            <w:pPr>
              <w:spacing w:before="20" w:after="20"/>
            </w:pPr>
            <w:r/>
            <w:r>
              <w:rPr>
                <w:sz w:val="19"/>
              </w:rPr>
              <w:t>0.6 s</w:t>
            </w:r>
          </w:p>
        </w:tc>
        <w:tc>
          <w:tcPr>
            <w:tcW w:type="dxa" w:w="2880"/>
          </w:tcPr>
          <w:p>
            <w:pPr>
              <w:spacing w:before="20" w:after="20"/>
            </w:pPr>
            <w:r/>
            <w:r>
              <w:rPr>
                <w:sz w:val="19"/>
              </w:rPr>
              <w:t>2, 4, 8, 16 s</w:t>
            </w:r>
          </w:p>
        </w:tc>
        <w:tc>
          <w:tcPr>
            <w:tcW w:type="dxa" w:w="1728"/>
          </w:tcPr>
          <w:p>
            <w:pPr>
              <w:spacing w:before="20" w:after="20"/>
            </w:pPr>
            <w:r/>
            <w:r>
              <w:rPr>
                <w:sz w:val="19"/>
              </w:rPr>
              <w:t>3</w:t>
            </w:r>
          </w:p>
        </w:tc>
      </w:tr>
      <w:tr>
        <w:tc>
          <w:tcPr>
            <w:tcW w:type="dxa" w:w="1872"/>
          </w:tcPr>
          <w:p>
            <w:pPr>
              <w:spacing w:before="20" w:after="20"/>
            </w:pPr>
            <w:r/>
            <w:r>
              <w:rPr>
                <w:sz w:val="19"/>
              </w:rPr>
              <w:t>BoE</w:t>
            </w:r>
          </w:p>
        </w:tc>
        <w:tc>
          <w:tcPr>
            <w:tcW w:type="dxa" w:w="1584"/>
          </w:tcPr>
          <w:p>
            <w:pPr>
              <w:spacing w:before="20" w:after="20"/>
            </w:pPr>
            <w:r/>
            <w:r>
              <w:rPr>
                <w:sz w:val="19"/>
              </w:rPr>
              <w:t>0.6 s</w:t>
            </w:r>
          </w:p>
        </w:tc>
        <w:tc>
          <w:tcPr>
            <w:tcW w:type="dxa" w:w="2880"/>
          </w:tcPr>
          <w:p>
            <w:pPr>
              <w:spacing w:before="20" w:after="20"/>
            </w:pPr>
            <w:r/>
            <w:r>
              <w:rPr>
                <w:sz w:val="19"/>
              </w:rPr>
              <w:t>2, 4, 8, 16 s</w:t>
            </w:r>
          </w:p>
        </w:tc>
        <w:tc>
          <w:tcPr>
            <w:tcW w:type="dxa" w:w="1728"/>
          </w:tcPr>
          <w:p>
            <w:pPr>
              <w:spacing w:before="20" w:after="20"/>
            </w:pPr>
            <w:r/>
            <w:r>
              <w:rPr>
                <w:sz w:val="19"/>
              </w:rPr>
              <w:t>3</w:t>
            </w:r>
          </w:p>
        </w:tc>
      </w:tr>
      <w:tr>
        <w:tc>
          <w:tcPr>
            <w:tcW w:type="dxa" w:w="1872"/>
          </w:tcPr>
          <w:p>
            <w:pPr>
              <w:spacing w:before="20" w:after="20"/>
            </w:pPr>
            <w:r/>
            <w:r>
              <w:rPr>
                <w:sz w:val="19"/>
              </w:rPr>
              <w:t>BoJ</w:t>
            </w:r>
          </w:p>
        </w:tc>
        <w:tc>
          <w:tcPr>
            <w:tcW w:type="dxa" w:w="1584"/>
          </w:tcPr>
          <w:p>
            <w:pPr>
              <w:spacing w:before="20" w:after="20"/>
            </w:pPr>
            <w:r/>
            <w:r>
              <w:rPr>
                <w:sz w:val="19"/>
              </w:rPr>
              <w:t>0.6 s</w:t>
            </w:r>
          </w:p>
        </w:tc>
        <w:tc>
          <w:tcPr>
            <w:tcW w:type="dxa" w:w="2880"/>
          </w:tcPr>
          <w:p>
            <w:pPr>
              <w:spacing w:before="20" w:after="20"/>
            </w:pPr>
            <w:r/>
            <w:r>
              <w:rPr>
                <w:sz w:val="19"/>
              </w:rPr>
              <w:t>2, 4, 8, 16 s</w:t>
            </w:r>
          </w:p>
        </w:tc>
        <w:tc>
          <w:tcPr>
            <w:tcW w:type="dxa" w:w="1728"/>
          </w:tcPr>
          <w:p>
            <w:pPr>
              <w:spacing w:before="20" w:after="20"/>
            </w:pPr>
            <w:r/>
            <w:r>
              <w:rPr>
                <w:sz w:val="19"/>
              </w:rPr>
              <w:t>3</w:t>
            </w:r>
          </w:p>
        </w:tc>
      </w:tr>
      <w:tr>
        <w:tc>
          <w:tcPr>
            <w:tcW w:type="dxa" w:w="1872"/>
          </w:tcPr>
          <w:p>
            <w:pPr>
              <w:spacing w:before="20" w:after="20"/>
            </w:pPr>
            <w:r/>
            <w:r>
              <w:rPr>
                <w:sz w:val="19"/>
              </w:rPr>
              <w:t>e-Stat</w:t>
            </w:r>
          </w:p>
        </w:tc>
        <w:tc>
          <w:tcPr>
            <w:tcW w:type="dxa" w:w="1584"/>
          </w:tcPr>
          <w:p>
            <w:pPr>
              <w:spacing w:before="20" w:after="20"/>
            </w:pPr>
            <w:r/>
            <w:r>
              <w:rPr>
                <w:sz w:val="19"/>
              </w:rPr>
              <w:t>0.6 s</w:t>
            </w:r>
          </w:p>
        </w:tc>
        <w:tc>
          <w:tcPr>
            <w:tcW w:type="dxa" w:w="2880"/>
          </w:tcPr>
          <w:p>
            <w:pPr>
              <w:spacing w:before="20" w:after="20"/>
            </w:pPr>
            <w:r/>
            <w:r>
              <w:rPr>
                <w:sz w:val="19"/>
              </w:rPr>
              <w:t>2, 4, 8, 16 s</w:t>
            </w:r>
          </w:p>
        </w:tc>
        <w:tc>
          <w:tcPr>
            <w:tcW w:type="dxa" w:w="1728"/>
          </w:tcPr>
          <w:p>
            <w:pPr>
              <w:spacing w:before="20" w:after="20"/>
            </w:pPr>
            <w:r/>
            <w:r>
              <w:rPr>
                <w:sz w:val="19"/>
              </w:rPr>
              <w:t>3</w:t>
            </w:r>
          </w:p>
        </w:tc>
      </w:tr>
    </w:tbl>
    <w:p/>
    <w:p>
      <w:pPr>
        <w:pStyle w:val="Heading2"/>
        <w:spacing w:before="200" w:after="40"/>
      </w:pPr>
      <w:r>
        <w:t>5.9  History preservation under source truncation</w:t>
      </w:r>
    </w:p>
    <w:p>
      <w:pPr>
        <w:spacing w:after="120"/>
      </w:pPr>
      <w:r>
        <w:rPr>
          <w:b w:val="0"/>
          <w:i w:val="0"/>
          <w:sz w:val="21"/>
        </w:rPr>
        <w:t>Source-side history can shrink retroactively. The cleanest example is the ICE Data licence change of April 2026, which obliged FRED to truncate its redistributed ICE BofA spread series — including BAMLH0A0HYM2, BAMLC0A0CM and BAMLHE00EHYIOAS — to a rolling three-year window. Twenty or more years of pre-2023 spread data disappeared from the FRED side. Without intervention, the next nightly fetch would have overwritten the local history with the truncated window, losing the historical depth on which the rolling z-score depends.</w:t>
      </w:r>
    </w:p>
    <w:p>
      <w:pPr>
        <w:spacing w:after="120"/>
      </w:pPr>
      <w:r>
        <w:rPr>
          <w:b w:val="0"/>
          <w:i w:val="0"/>
          <w:sz w:val="21"/>
        </w:rPr>
        <w:t>The mitigation is architectural. For every primary history file the pipeline writes, an append-only sister file captures rows that pre-date the current source-side window. The detection logic operates per column rather than per row: a rolling-window source can keep row count constant while the earliest non-null date walks forward each cycle, so the test is whether a column's earliest non-null date in the new fetch is later than the earliest non-null date previously stored. If so, the rows about to disappear are appended to the sister file, deduplicated by date, before the live file is rewritten with the new window. Read paths transparently union the live and sister files, with the live file winning where it has a non-null observation.</w:t>
      </w:r>
    </w:p>
    <w:tbl>
      <w:tblPr>
        <w:tblW w:type="auto" w:w="0"/>
        <w:tblLook w:firstColumn="1" w:firstRow="1" w:lastColumn="0" w:lastRow="0" w:noHBand="0" w:noVBand="1" w:val="04A0"/>
      </w:tblPr>
      <w:tblGrid>
        <w:gridCol w:w="9072"/>
      </w:tblGrid>
      <w:tr>
        <w:tc>
          <w:tcPr>
            <w:tcW w:type="dxa" w:w="9072"/>
            <w:shd w:val="clear" w:color="auto" w:fill="F2F2F2"/>
            <w:vAlign w:val="top"/>
          </w:tcPr>
          <w:p>
            <w:pPr>
              <w:spacing w:after="40"/>
            </w:pPr>
            <w:r>
              <w:rPr>
                <w:b/>
                <w:sz w:val="20"/>
              </w:rPr>
              <w:t>Out of scope</w:t>
            </w:r>
          </w:p>
          <w:p>
            <w:pPr>
              <w:spacing w:after="0"/>
            </w:pPr>
            <w:r>
              <w:rPr>
                <w:sz w:val="20"/>
              </w:rPr>
              <w:t>This rule preserves history that the pipeline already has. It does not back-fill history that was never captured. Filling a pre-installation gap would require either a paid ICE Data subscription or an alternative archive — neither is currently in scope.</w:t>
            </w:r>
          </w:p>
        </w:tc>
      </w:tr>
    </w:tbl>
    <w:p/>
    <w:p>
      <w:r>
        <w:br w:type="page"/>
      </w:r>
    </w:p>
    <w:p>
      <w:pPr>
        <w:pStyle w:val="Heading1"/>
        <w:spacing w:before="0" w:after="160"/>
      </w:pPr>
      <w:r>
        <w:t>6.  The Composite-Indicator Layer (Phase E)</w:t>
      </w:r>
    </w:p>
    <w:p>
      <w:pPr>
        <w:spacing w:after="120"/>
      </w:pPr>
      <w:r>
        <w:rPr>
          <w:b w:val="0"/>
          <w:i w:val="0"/>
          <w:sz w:val="21"/>
        </w:rPr>
        <w:t>Phase E is the analytical heart of the project. It consumes the unified macro-economic history and the comp-pipeline price history, applies a small library of standard transforms, and produces ninety-two composite indicators. Each indicator emits, for every Friday in its history, a raw value, a rolling z-score, a regime classification, a forward-regime signal, and a z-score trajectory diagnostic. The indicator is the unit on which all downstream interpretation is built.</w:t>
      </w:r>
    </w:p>
    <w:p>
      <w:pPr>
        <w:pStyle w:val="Heading2"/>
        <w:spacing w:before="200" w:after="40"/>
      </w:pPr>
      <w:r>
        <w:t>6.1  Computation flow per indicator</w:t>
      </w:r>
    </w:p>
    <w:p>
      <w:pPr>
        <w:spacing w:after="120"/>
      </w:pPr>
      <w:r>
        <w:rPr>
          <w:b w:val="0"/>
          <w:i w:val="0"/>
          <w:sz w:val="21"/>
        </w:rPr>
        <w:t>Every indicator passes through the same five-stage pipeline. The first three stages are purely mechanical and identical across indicators; the last two stages are where economic judgement enters.</w:t>
      </w:r>
    </w:p>
    <w:tbl>
      <w:tblPr>
        <w:tblStyle w:val="TableGrid"/>
        <w:tblW w:type="auto" w:w="0"/>
        <w:tblLook w:firstColumn="1" w:firstRow="1" w:lastColumn="0" w:lastRow="0" w:noHBand="0" w:noVBand="1" w:val="04A0"/>
      </w:tblPr>
      <w:tblGrid>
        <w:gridCol w:w="3024"/>
        <w:gridCol w:w="3024"/>
        <w:gridCol w:w="3024"/>
      </w:tblGrid>
      <w:tr>
        <w:tc>
          <w:tcPr>
            <w:tcW w:type="dxa" w:w="576"/>
            <w:shd w:val="clear" w:color="auto" w:fill="D9E2F3"/>
          </w:tcPr>
          <w:p>
            <w:pPr>
              <w:spacing w:before="40" w:after="40"/>
            </w:pPr>
            <w:r/>
            <w:r>
              <w:rPr>
                <w:b/>
                <w:sz w:val="19"/>
              </w:rPr>
              <w:t>#</w:t>
            </w:r>
          </w:p>
        </w:tc>
        <w:tc>
          <w:tcPr>
            <w:tcW w:type="dxa" w:w="2304"/>
            <w:shd w:val="clear" w:color="auto" w:fill="D9E2F3"/>
          </w:tcPr>
          <w:p>
            <w:pPr>
              <w:spacing w:before="40" w:after="40"/>
            </w:pPr>
            <w:r/>
            <w:r>
              <w:rPr>
                <w:b/>
                <w:sz w:val="19"/>
              </w:rPr>
              <w:t>Stage</w:t>
            </w:r>
          </w:p>
        </w:tc>
        <w:tc>
          <w:tcPr>
            <w:tcW w:type="dxa" w:w="6480"/>
            <w:shd w:val="clear" w:color="auto" w:fill="D9E2F3"/>
          </w:tcPr>
          <w:p>
            <w:pPr>
              <w:spacing w:before="40" w:after="40"/>
            </w:pPr>
            <w:r/>
            <w:r>
              <w:rPr>
                <w:b/>
                <w:sz w:val="19"/>
              </w:rPr>
              <w:t>Description</w:t>
            </w:r>
          </w:p>
        </w:tc>
      </w:tr>
      <w:tr>
        <w:tc>
          <w:tcPr>
            <w:tcW w:type="dxa" w:w="576"/>
          </w:tcPr>
          <w:p>
            <w:pPr>
              <w:spacing w:before="20" w:after="20"/>
            </w:pPr>
            <w:r/>
            <w:r>
              <w:rPr>
                <w:sz w:val="19"/>
              </w:rPr>
              <w:t>1</w:t>
            </w:r>
          </w:p>
        </w:tc>
        <w:tc>
          <w:tcPr>
            <w:tcW w:type="dxa" w:w="2304"/>
          </w:tcPr>
          <w:p>
            <w:pPr>
              <w:spacing w:before="20" w:after="20"/>
            </w:pPr>
            <w:r/>
            <w:r>
              <w:rPr>
                <w:sz w:val="19"/>
              </w:rPr>
              <w:t>Calculator function</w:t>
            </w:r>
          </w:p>
        </w:tc>
        <w:tc>
          <w:tcPr>
            <w:tcW w:type="dxa" w:w="6480"/>
          </w:tcPr>
          <w:p>
            <w:pPr>
              <w:spacing w:before="20" w:after="20"/>
            </w:pPr>
            <w:r/>
            <w:r>
              <w:rPr>
                <w:sz w:val="19"/>
              </w:rPr>
              <w:t>A registered Python function (e.g. _calc_US_G1) reads its inputs from the unified macro hist or the comp-pipeline price history, applies the indicator-specific transform, and returns a weekly Series.</w:t>
            </w:r>
          </w:p>
        </w:tc>
      </w:tr>
      <w:tr>
        <w:tc>
          <w:tcPr>
            <w:tcW w:type="dxa" w:w="576"/>
          </w:tcPr>
          <w:p>
            <w:pPr>
              <w:spacing w:before="20" w:after="20"/>
            </w:pPr>
            <w:r/>
            <w:r>
              <w:rPr>
                <w:sz w:val="19"/>
              </w:rPr>
              <w:t>2</w:t>
            </w:r>
          </w:p>
        </w:tc>
        <w:tc>
          <w:tcPr>
            <w:tcW w:type="dxa" w:w="2304"/>
          </w:tcPr>
          <w:p>
            <w:pPr>
              <w:spacing w:before="20" w:after="20"/>
            </w:pPr>
            <w:r/>
            <w:r>
              <w:rPr>
                <w:sz w:val="19"/>
              </w:rPr>
              <w:t>Rolling z-score</w:t>
            </w:r>
          </w:p>
        </w:tc>
        <w:tc>
          <w:tcPr>
            <w:tcW w:type="dxa" w:w="6480"/>
          </w:tcPr>
          <w:p>
            <w:pPr>
              <w:spacing w:before="20" w:after="20"/>
            </w:pPr>
            <w:r/>
            <w:r>
              <w:rPr>
                <w:sz w:val="19"/>
              </w:rPr>
              <w:t>A 156-week (three-year) rolling z-score is computed against the indicator's own history, with a 52-week minimum warm-up before the first z-value is emitted.</w:t>
            </w:r>
          </w:p>
        </w:tc>
      </w:tr>
      <w:tr>
        <w:tc>
          <w:tcPr>
            <w:tcW w:type="dxa" w:w="576"/>
          </w:tcPr>
          <w:p>
            <w:pPr>
              <w:spacing w:before="20" w:after="20"/>
            </w:pPr>
            <w:r/>
            <w:r>
              <w:rPr>
                <w:sz w:val="19"/>
              </w:rPr>
              <w:t>3</w:t>
            </w:r>
          </w:p>
        </w:tc>
        <w:tc>
          <w:tcPr>
            <w:tcW w:type="dxa" w:w="2304"/>
          </w:tcPr>
          <w:p>
            <w:pPr>
              <w:spacing w:before="20" w:after="20"/>
            </w:pPr>
            <w:r/>
            <w:r>
              <w:rPr>
                <w:sz w:val="19"/>
              </w:rPr>
              <w:t>Regime classification</w:t>
            </w:r>
          </w:p>
        </w:tc>
        <w:tc>
          <w:tcPr>
            <w:tcW w:type="dxa" w:w="6480"/>
          </w:tcPr>
          <w:p>
            <w:pPr>
              <w:spacing w:before="20" w:after="20"/>
            </w:pPr>
            <w:r/>
            <w:r>
              <w:rPr>
                <w:sz w:val="19"/>
              </w:rPr>
              <w:t>A registered classifier function (a lambda keyed by indicator id in REGIME_RULES) maps the (raw, z) pair to a discrete regime label.</w:t>
            </w:r>
          </w:p>
        </w:tc>
      </w:tr>
      <w:tr>
        <w:tc>
          <w:tcPr>
            <w:tcW w:type="dxa" w:w="576"/>
          </w:tcPr>
          <w:p>
            <w:pPr>
              <w:spacing w:before="20" w:after="20"/>
            </w:pPr>
            <w:r/>
            <w:r>
              <w:rPr>
                <w:sz w:val="19"/>
              </w:rPr>
              <w:t>4</w:t>
            </w:r>
          </w:p>
        </w:tc>
        <w:tc>
          <w:tcPr>
            <w:tcW w:type="dxa" w:w="2304"/>
          </w:tcPr>
          <w:p>
            <w:pPr>
              <w:spacing w:before="20" w:after="20"/>
            </w:pPr>
            <w:r/>
            <w:r>
              <w:rPr>
                <w:sz w:val="19"/>
              </w:rPr>
              <w:t>Forward regime</w:t>
            </w:r>
          </w:p>
        </w:tc>
        <w:tc>
          <w:tcPr>
            <w:tcW w:type="dxa" w:w="6480"/>
          </w:tcPr>
          <w:p>
            <w:pPr>
              <w:spacing w:before="20" w:after="20"/>
            </w:pPr>
            <w:r/>
            <w:r>
              <w:rPr>
                <w:sz w:val="19"/>
              </w:rPr>
              <w:t>The slope of the z-score over the trailing eight weeks is classified as improving / stable / deteriorating, with a [leading] suffix where the indicator is naturally leading.</w:t>
            </w:r>
          </w:p>
        </w:tc>
      </w:tr>
      <w:tr>
        <w:tc>
          <w:tcPr>
            <w:tcW w:type="dxa" w:w="576"/>
          </w:tcPr>
          <w:p>
            <w:pPr>
              <w:spacing w:before="20" w:after="20"/>
            </w:pPr>
            <w:r/>
            <w:r>
              <w:rPr>
                <w:sz w:val="19"/>
              </w:rPr>
              <w:t>5</w:t>
            </w:r>
          </w:p>
        </w:tc>
        <w:tc>
          <w:tcPr>
            <w:tcW w:type="dxa" w:w="2304"/>
          </w:tcPr>
          <w:p>
            <w:pPr>
              <w:spacing w:before="20" w:after="20"/>
            </w:pPr>
            <w:r/>
            <w:r>
              <w:rPr>
                <w:sz w:val="19"/>
              </w:rPr>
              <w:t>Z-score trajectory</w:t>
            </w:r>
          </w:p>
        </w:tc>
        <w:tc>
          <w:tcPr>
            <w:tcW w:type="dxa" w:w="6480"/>
          </w:tcPr>
          <w:p>
            <w:pPr>
              <w:spacing w:before="20" w:after="20"/>
            </w:pPr>
            <w:r/>
            <w:r>
              <w:rPr>
                <w:sz w:val="19"/>
              </w:rPr>
              <w:t>Sampled at 1-, 4-, and 13-week lags, the z-score's recent trajectory is classified as intensifying, fading, reversing, or stable. This is purely diagnostic — it does not feed the regime call.</w:t>
            </w:r>
          </w:p>
        </w:tc>
      </w:tr>
    </w:tbl>
    <w:p/>
    <w:p>
      <w:pPr>
        <w:pStyle w:val="Heading2"/>
        <w:spacing w:before="200" w:after="40"/>
      </w:pPr>
      <w:r>
        <w:t>6.2  The rolling z-score</w:t>
      </w:r>
    </w:p>
    <w:p>
      <w:pPr>
        <w:spacing w:after="120"/>
      </w:pPr>
      <w:r>
        <w:rPr>
          <w:b w:val="0"/>
          <w:i w:val="0"/>
          <w:sz w:val="21"/>
        </w:rPr>
        <w:t>The rolling z-score is the single normalisation that makes ninety-two indicators of heterogeneous units comparable. For an indicator series, the z-score at time t is:</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sSub>
                  <m:e>
                    <m:r>
                      <m:t>z</m:t>
                    </m:r>
                  </m:e>
                  <m:sub>
                    <m:r>
                      <m:t>t</m:t>
                    </m:r>
                  </m:sub>
                </m:sSub>
                <m:r>
                  <m:t>=</m:t>
                </m:r>
                <m:f>
                  <m:num>
                    <m:sSub>
                      <m:e>
                        <m:r>
                          <m:t>x</m:t>
                        </m:r>
                      </m:e>
                      <m:sub>
                        <m:r>
                          <m:t>t</m:t>
                        </m:r>
                      </m:sub>
                    </m:sSub>
                    <m:r>
                      <m:t>−</m:t>
                    </m:r>
                    <m:sSub>
                      <m:e>
                        <m:r>
                          <m:t>μ</m:t>
                        </m:r>
                      </m:e>
                      <m:sub>
                        <m:r>
                          <m:t>W</m:t>
                        </m:r>
                      </m:sub>
                    </m:sSub>
                    <m:d>
                      <m:dPr>
                        <m:begChr m:val="("/>
                        <m:endChr m:val=")"/>
                      </m:dPr>
                      <m:e>
                        <m:r>
                          <m:t>t</m:t>
                        </m:r>
                      </m:e>
                    </m:d>
                  </m:num>
                  <m:den>
                    <m:sSub>
                      <m:e>
                        <m:r>
                          <m:t>σ</m:t>
                        </m:r>
                      </m:e>
                      <m:sub>
                        <m:r>
                          <m:t>W</m:t>
                        </m:r>
                      </m:sub>
                    </m:sSub>
                    <m:d>
                      <m:dPr>
                        <m:begChr m:val="("/>
                        <m:endChr m:val=")"/>
                      </m:dPr>
                      <m:e>
                        <m:r>
                          <m:t>t</m:t>
                        </m:r>
                      </m:e>
                    </m:d>
                  </m:den>
                </m:f>
              </m:oMath>
            </m:oMathPara>
          </w:p>
        </w:tc>
        <w:tc>
          <w:tcPr>
            <w:tcW w:type="dxa" w:w="4536"/>
            <w:tcBorders>
              <w:top w:val="nil"/>
              <w:left w:val="nil"/>
              <w:bottom w:val="nil"/>
              <w:right w:val="nil"/>
            </w:tcBorders>
          </w:tcPr>
          <w:p>
            <w:pPr>
              <w:jc w:val="right"/>
            </w:pPr>
            <w:r>
              <w:rPr>
                <w:sz w:val="20"/>
              </w:rPr>
              <w:t>(6.1)</w:t>
            </w:r>
          </w:p>
        </w:tc>
      </w:tr>
    </w:tbl>
    <w:p/>
    <w:p>
      <w:pPr>
        <w:spacing w:after="120"/>
      </w:pPr>
      <w:r>
        <w:rPr>
          <w:b w:val="0"/>
          <w:i w:val="0"/>
          <w:sz w:val="21"/>
        </w:rPr>
        <w:t>where the window mean and standard deviation are computed over the trailing W observations:</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sSub>
                  <m:e>
                    <m:r>
                      <m:t>μ</m:t>
                    </m:r>
                  </m:e>
                  <m:sub>
                    <m:r>
                      <m:t>W</m:t>
                    </m:r>
                  </m:sub>
                </m:sSub>
                <m:d>
                  <m:dPr>
                    <m:begChr m:val="("/>
                    <m:endChr m:val=")"/>
                  </m:dPr>
                  <m:e>
                    <m:r>
                      <m:t>t</m:t>
                    </m:r>
                  </m:e>
                </m:d>
                <m:r>
                  <m:t>=</m:t>
                </m:r>
                <m:f>
                  <m:num>
                    <m:r>
                      <m:rPr>
                        <m:sty m:val="p"/>
                      </m:rPr>
                      <m:t>1</m:t>
                    </m:r>
                  </m:num>
                  <m:den>
                    <m:r>
                      <m:t>W</m:t>
                    </m:r>
                  </m:den>
                </m:f>
                <m:nary>
                  <m:naryPr>
                    <m:chr m:val="∑"/>
                    <m:limLoc m:val="undOvr"/>
                  </m:naryPr>
                  <m:sub>
                    <m:r>
                      <m:rPr>
                        <m:sty m:val="p"/>
                      </m:rPr>
                      <m:t>i=0</m:t>
                    </m:r>
                  </m:sub>
                  <m:sup>
                    <m:r>
                      <m:rPr>
                        <m:sty m:val="p"/>
                      </m:rPr>
                      <m:t>W−1</m:t>
                    </m:r>
                  </m:sup>
                  <m:e>
                    <m:sSub>
                      <m:e>
                        <m:r>
                          <m:t>x</m:t>
                        </m:r>
                      </m:e>
                      <m:sub>
                        <m:r>
                          <m:t>t−i</m:t>
                        </m:r>
                      </m:sub>
                    </m:sSub>
                  </m:e>
                </m:nary>
                <m:r>
                  <m:rPr>
                    <m:sty m:val="p"/>
                  </m:rPr>
                  <m:t>,   W = 156,   min_periods = 52</m:t>
                </m:r>
              </m:oMath>
            </m:oMathPara>
          </w:p>
        </w:tc>
        <w:tc>
          <w:tcPr>
            <w:tcW w:type="dxa" w:w="4536"/>
            <w:tcBorders>
              <w:top w:val="nil"/>
              <w:left w:val="nil"/>
              <w:bottom w:val="nil"/>
              <w:right w:val="nil"/>
            </w:tcBorders>
          </w:tcPr>
          <w:p>
            <w:pPr>
              <w:jc w:val="right"/>
            </w:pPr>
            <w:r>
              <w:rPr>
                <w:sz w:val="20"/>
              </w:rPr>
              <w:t>(6.2)</w:t>
            </w:r>
          </w:p>
        </w:tc>
      </w:tr>
    </w:tbl>
    <w:p/>
    <w:p>
      <w:pPr>
        <w:spacing w:after="120"/>
      </w:pPr>
      <w:r>
        <w:rPr>
          <w:b w:val="0"/>
          <w:i w:val="0"/>
          <w:sz w:val="21"/>
        </w:rPr>
        <w:t>The choice of W = 156 weeks corresponds to three calendar years. Three years is long enough to span the typical short business cycle while remaining short enough that the window tracks regime shifts rather than averaging across them. The minimum-periods threshold of 52 weeks ensures that no indicator emits a z-score until it has accumulated at least one year of context, so that early-history values are not computed against a degenerate sample.</w:t>
      </w:r>
    </w:p>
    <w:tbl>
      <w:tblPr>
        <w:tblW w:type="auto" w:w="0"/>
        <w:tblLook w:firstColumn="1" w:firstRow="1" w:lastColumn="0" w:lastRow="0" w:noHBand="0" w:noVBand="1" w:val="04A0"/>
      </w:tblPr>
      <w:tblGrid>
        <w:gridCol w:w="9072"/>
      </w:tblGrid>
      <w:tr>
        <w:tc>
          <w:tcPr>
            <w:tcW w:type="dxa" w:w="9072"/>
            <w:shd w:val="clear" w:color="auto" w:fill="F2F2F2"/>
            <w:vAlign w:val="top"/>
          </w:tcPr>
          <w:p>
            <w:pPr>
              <w:spacing w:after="40"/>
            </w:pPr>
            <w:r>
              <w:rPr>
                <w:b/>
                <w:sz w:val="20"/>
              </w:rPr>
              <w:t>Why z-scores rather than absolute thresholds?</w:t>
            </w:r>
          </w:p>
          <w:p>
            <w:pPr>
              <w:spacing w:after="0"/>
            </w:pPr>
            <w:r>
              <w:rPr>
                <w:sz w:val="20"/>
              </w:rPr>
              <w:t>The economic meaning of a credit spread of 500 basis points in 1995 is materially different from its meaning in 2025. Spreads have structurally tightened. The same is true of implied volatility, the yield curve, and most spread relations in the indicator library. A rolling z-score adapts to the indicator's own recent regime and answers the only question that matters in practice: is this reading unusual relative to the recent history? Where structural levels do matter — the credit spread above 800 basis points, the inverted yield curve, the inverted VIX term structure — the regime classifier applies a level override, as discussed in Section 7.</w:t>
            </w:r>
          </w:p>
        </w:tc>
      </w:tr>
    </w:tbl>
    <w:p/>
    <w:p>
      <w:pPr>
        <w:pStyle w:val="Heading2"/>
        <w:spacing w:before="200" w:after="40"/>
      </w:pPr>
      <w:r>
        <w:t>6.3  Indicator formula templates</w:t>
      </w:r>
    </w:p>
    <w:p>
      <w:pPr>
        <w:spacing w:after="120"/>
      </w:pPr>
      <w:r>
        <w:rPr>
          <w:b w:val="0"/>
          <w:i w:val="0"/>
          <w:sz w:val="21"/>
        </w:rPr>
        <w:t>Every calculator in the library is a thin wrapper around one of four standard transforms, plus a small set of derived operations. The transforms are:</w:t>
      </w:r>
    </w:p>
    <w:p>
      <w:pPr>
        <w:spacing w:after="40"/>
      </w:pPr>
      <w:r>
        <w:rPr>
          <w:b/>
          <w:i w:val="0"/>
          <w:sz w:val="21"/>
        </w:rPr>
        <w:t>Log-ratio. Used wherever two prices or two yield-class series are compared:</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sSub>
                  <m:e>
                    <m:r>
                      <m:t>I</m:t>
                    </m:r>
                  </m:e>
                  <m:sub>
                    <m:r>
                      <m:t>t</m:t>
                    </m:r>
                  </m:sub>
                </m:sSub>
                <m:r>
                  <m:t>=</m:t>
                </m:r>
                <m:func>
                  <m:fName>
                    <m:r>
                      <m:rPr>
                        <m:sty m:val="p"/>
                      </m:rPr>
                      <m:t>log</m:t>
                    </m:r>
                  </m:fName>
                  <m:e>
                    <m:f>
                      <m:num>
                        <m:sSub>
                          <m:e>
                            <m:r>
                              <m:t>N</m:t>
                            </m:r>
                          </m:e>
                          <m:sub>
                            <m:r>
                              <m:t>t</m:t>
                            </m:r>
                          </m:sub>
                        </m:sSub>
                      </m:num>
                      <m:den>
                        <m:sSub>
                          <m:e>
                            <m:r>
                              <m:t>D</m:t>
                            </m:r>
                          </m:e>
                          <m:sub>
                            <m:r>
                              <m:t>t</m:t>
                            </m:r>
                          </m:sub>
                        </m:sSub>
                      </m:den>
                    </m:f>
                  </m:e>
                </m:func>
              </m:oMath>
            </m:oMathPara>
          </w:p>
        </w:tc>
        <w:tc>
          <w:tcPr>
            <w:tcW w:type="dxa" w:w="4536"/>
            <w:tcBorders>
              <w:top w:val="nil"/>
              <w:left w:val="nil"/>
              <w:bottom w:val="nil"/>
              <w:right w:val="nil"/>
            </w:tcBorders>
          </w:tcPr>
          <w:p>
            <w:pPr>
              <w:jc w:val="right"/>
            </w:pPr>
            <w:r>
              <w:rPr>
                <w:sz w:val="20"/>
              </w:rPr>
              <w:t>(6.3)</w:t>
            </w:r>
          </w:p>
        </w:tc>
      </w:tr>
    </w:tbl>
    <w:p/>
    <w:p>
      <w:pPr>
        <w:spacing w:after="40"/>
      </w:pPr>
      <w:r>
        <w:rPr>
          <w:b/>
          <w:i w:val="0"/>
          <w:sz w:val="21"/>
        </w:rPr>
        <w:t>Composite log-ratio. Used to average several log-ratios into a single composite signal:</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sSub>
                  <m:e>
                    <m:r>
                      <m:t>I</m:t>
                    </m:r>
                  </m:e>
                  <m:sub>
                    <m:r>
                      <m:t>t</m:t>
                    </m:r>
                  </m:sub>
                </m:sSub>
                <m:r>
                  <m:t>=</m:t>
                </m:r>
                <m:f>
                  <m:num>
                    <m:r>
                      <m:rPr>
                        <m:sty m:val="p"/>
                      </m:rPr>
                      <m:t>1</m:t>
                    </m:r>
                  </m:num>
                  <m:den>
                    <m:r>
                      <m:t>k</m:t>
                    </m:r>
                  </m:den>
                </m:f>
                <m:nary>
                  <m:naryPr>
                    <m:chr m:val="∑"/>
                    <m:limLoc m:val="undOvr"/>
                  </m:naryPr>
                  <m:sub>
                    <m:r>
                      <m:rPr>
                        <m:sty m:val="p"/>
                      </m:rPr>
                      <m:t>i=1</m:t>
                    </m:r>
                  </m:sub>
                  <m:sup>
                    <m:r>
                      <m:t>k</m:t>
                    </m:r>
                  </m:sup>
                  <m:e>
                    <m:func>
                      <m:fName>
                        <m:r>
                          <m:rPr>
                            <m:sty m:val="p"/>
                          </m:rPr>
                          <m:t>log</m:t>
                        </m:r>
                      </m:fName>
                      <m:e>
                        <m:f>
                          <m:num>
                            <m:sSub>
                              <m:e>
                                <m:r>
                                  <m:t>N</m:t>
                                </m:r>
                              </m:e>
                              <m:sub>
                                <m:r>
                                  <m:rPr>
                                    <m:sty m:val="p"/>
                                  </m:rPr>
                                  <m:t>i,t</m:t>
                                </m:r>
                              </m:sub>
                            </m:sSub>
                          </m:num>
                          <m:den>
                            <m:sSub>
                              <m:e>
                                <m:r>
                                  <m:t>D</m:t>
                                </m:r>
                              </m:e>
                              <m:sub>
                                <m:r>
                                  <m:rPr>
                                    <m:sty m:val="p"/>
                                  </m:rPr>
                                  <m:t>i,t</m:t>
                                </m:r>
                              </m:sub>
                            </m:sSub>
                          </m:den>
                        </m:f>
                      </m:e>
                    </m:func>
                  </m:e>
                </m:nary>
              </m:oMath>
            </m:oMathPara>
          </w:p>
        </w:tc>
        <w:tc>
          <w:tcPr>
            <w:tcW w:type="dxa" w:w="4536"/>
            <w:tcBorders>
              <w:top w:val="nil"/>
              <w:left w:val="nil"/>
              <w:bottom w:val="nil"/>
              <w:right w:val="nil"/>
            </w:tcBorders>
          </w:tcPr>
          <w:p>
            <w:pPr>
              <w:jc w:val="right"/>
            </w:pPr>
            <w:r>
              <w:rPr>
                <w:sz w:val="20"/>
              </w:rPr>
              <w:t>(6.4)</w:t>
            </w:r>
          </w:p>
        </w:tc>
      </w:tr>
    </w:tbl>
    <w:p/>
    <w:p>
      <w:pPr>
        <w:spacing w:after="40"/>
      </w:pPr>
      <w:r>
        <w:rPr>
          <w:b/>
          <w:i w:val="0"/>
          <w:sz w:val="21"/>
        </w:rPr>
        <w:t>Arithmetic difference. Used for yield-curve and spread differences:</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sSub>
                  <m:e>
                    <m:r>
                      <m:t>I</m:t>
                    </m:r>
                  </m:e>
                  <m:sub>
                    <m:r>
                      <m:t>t</m:t>
                    </m:r>
                  </m:sub>
                </m:sSub>
                <m:r>
                  <m:t>=</m:t>
                </m:r>
                <m:sSub>
                  <m:e>
                    <m:r>
                      <m:t>a</m:t>
                    </m:r>
                  </m:e>
                  <m:sub>
                    <m:r>
                      <m:t>t</m:t>
                    </m:r>
                  </m:sub>
                </m:sSub>
                <m:r>
                  <m:t>−</m:t>
                </m:r>
                <m:sSub>
                  <m:e>
                    <m:r>
                      <m:t>b</m:t>
                    </m:r>
                  </m:e>
                  <m:sub>
                    <m:r>
                      <m:t>t</m:t>
                    </m:r>
                  </m:sub>
                </m:sSub>
              </m:oMath>
            </m:oMathPara>
          </w:p>
        </w:tc>
        <w:tc>
          <w:tcPr>
            <w:tcW w:type="dxa" w:w="4536"/>
            <w:tcBorders>
              <w:top w:val="nil"/>
              <w:left w:val="nil"/>
              <w:bottom w:val="nil"/>
              <w:right w:val="nil"/>
            </w:tcBorders>
          </w:tcPr>
          <w:p>
            <w:pPr>
              <w:jc w:val="right"/>
            </w:pPr>
            <w:r>
              <w:rPr>
                <w:sz w:val="20"/>
              </w:rPr>
              <w:t>(6.5)</w:t>
            </w:r>
          </w:p>
        </w:tc>
      </w:tr>
    </w:tbl>
    <w:p/>
    <w:p>
      <w:pPr>
        <w:spacing w:after="40"/>
      </w:pPr>
      <w:r>
        <w:rPr>
          <w:b/>
          <w:i w:val="0"/>
          <w:sz w:val="21"/>
        </w:rPr>
        <w:t>Year-on-year change. Used for monthly macro-economic series whose level is not directly comparable across regimes:</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r>
                  <m:rPr>
                    <m:sty m:val="p"/>
                  </m:rPr>
                  <m:t>YoY</m:t>
                </m:r>
                <m:d>
                  <m:dPr>
                    <m:begChr m:val="("/>
                    <m:endChr m:val=")"/>
                  </m:dPr>
                  <m:e>
                    <m:sSub>
                      <m:e>
                        <m:r>
                          <m:t>x</m:t>
                        </m:r>
                      </m:e>
                      <m:sub>
                        <m:r>
                          <m:t>t</m:t>
                        </m:r>
                      </m:sub>
                    </m:sSub>
                  </m:e>
                </m:d>
                <m:r>
                  <m:t>=</m:t>
                </m:r>
                <m:f>
                  <m:num>
                    <m:sSub>
                      <m:e>
                        <m:r>
                          <m:t>x</m:t>
                        </m:r>
                      </m:e>
                      <m:sub>
                        <m:r>
                          <m:t>t</m:t>
                        </m:r>
                      </m:sub>
                    </m:sSub>
                    <m:r>
                      <m:t>−</m:t>
                    </m:r>
                    <m:sSub>
                      <m:e>
                        <m:r>
                          <m:t>x</m:t>
                        </m:r>
                      </m:e>
                      <m:sub>
                        <m:r>
                          <m:rPr>
                            <m:sty m:val="p"/>
                          </m:rPr>
                          <m:t>t−12</m:t>
                        </m:r>
                      </m:sub>
                    </m:sSub>
                  </m:num>
                  <m:den>
                    <m:sSub>
                      <m:e>
                        <m:r>
                          <m:t>x</m:t>
                        </m:r>
                      </m:e>
                      <m:sub>
                        <m:r>
                          <m:rPr>
                            <m:sty m:val="p"/>
                          </m:rPr>
                          <m:t>t−12</m:t>
                        </m:r>
                      </m:sub>
                    </m:sSub>
                  </m:den>
                </m:f>
              </m:oMath>
            </m:oMathPara>
          </w:p>
        </w:tc>
        <w:tc>
          <w:tcPr>
            <w:tcW w:type="dxa" w:w="4536"/>
            <w:tcBorders>
              <w:top w:val="nil"/>
              <w:left w:val="nil"/>
              <w:bottom w:val="nil"/>
              <w:right w:val="nil"/>
            </w:tcBorders>
          </w:tcPr>
          <w:p>
            <w:pPr>
              <w:jc w:val="right"/>
            </w:pPr>
            <w:r>
              <w:rPr>
                <w:sz w:val="20"/>
              </w:rPr>
              <w:t>(6.6)</w:t>
            </w:r>
          </w:p>
        </w:tc>
      </w:tr>
    </w:tbl>
    <w:p/>
    <w:p>
      <w:pPr>
        <w:pStyle w:val="Heading2"/>
        <w:spacing w:before="200" w:after="40"/>
      </w:pPr>
      <w:r>
        <w:t>6.4  Indicator families</w:t>
      </w:r>
    </w:p>
    <w:p>
      <w:pPr>
        <w:spacing w:after="120"/>
      </w:pPr>
      <w:r>
        <w:rPr>
          <w:b w:val="0"/>
          <w:i w:val="0"/>
          <w:sz w:val="21"/>
        </w:rPr>
        <w:t>The ninety-two indicators are organised across regions and concept families:</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D9E2F3"/>
          </w:tcPr>
          <w:p>
            <w:pPr>
              <w:spacing w:before="40" w:after="40"/>
            </w:pPr>
            <w:r/>
            <w:r>
              <w:rPr>
                <w:b/>
                <w:sz w:val="19"/>
              </w:rPr>
              <w:t>Family</w:t>
            </w:r>
          </w:p>
        </w:tc>
        <w:tc>
          <w:tcPr>
            <w:tcW w:type="dxa" w:w="864"/>
            <w:shd w:val="clear" w:color="auto" w:fill="D9E2F3"/>
          </w:tcPr>
          <w:p>
            <w:pPr>
              <w:spacing w:before="40" w:after="40"/>
            </w:pPr>
            <w:r/>
            <w:r>
              <w:rPr>
                <w:b/>
                <w:sz w:val="19"/>
              </w:rPr>
              <w:t>Count</w:t>
            </w:r>
          </w:p>
        </w:tc>
        <w:tc>
          <w:tcPr>
            <w:tcW w:type="dxa" w:w="5616"/>
            <w:shd w:val="clear" w:color="auto" w:fill="D9E2F3"/>
          </w:tcPr>
          <w:p>
            <w:pPr>
              <w:spacing w:before="40" w:after="40"/>
            </w:pPr>
            <w:r/>
            <w:r>
              <w:rPr>
                <w:b/>
                <w:sz w:val="19"/>
              </w:rPr>
              <w:t>Coverage</w:t>
            </w:r>
          </w:p>
        </w:tc>
      </w:tr>
      <w:tr>
        <w:tc>
          <w:tcPr>
            <w:tcW w:type="dxa" w:w="2880"/>
          </w:tcPr>
          <w:p>
            <w:pPr>
              <w:spacing w:before="20" w:after="20"/>
            </w:pPr>
            <w:r/>
            <w:r>
              <w:rPr>
                <w:sz w:val="19"/>
              </w:rPr>
              <w:t>US</w:t>
            </w:r>
          </w:p>
        </w:tc>
        <w:tc>
          <w:tcPr>
            <w:tcW w:type="dxa" w:w="864"/>
          </w:tcPr>
          <w:p>
            <w:pPr>
              <w:spacing w:before="20" w:after="20"/>
            </w:pPr>
            <w:r/>
            <w:r>
              <w:rPr>
                <w:sz w:val="19"/>
              </w:rPr>
              <w:t>34</w:t>
            </w:r>
          </w:p>
        </w:tc>
        <w:tc>
          <w:tcPr>
            <w:tcW w:type="dxa" w:w="5616"/>
          </w:tcPr>
          <w:p>
            <w:pPr>
              <w:spacing w:before="20" w:after="20"/>
            </w:pPr>
            <w:r/>
            <w:r>
              <w:rPr>
                <w:sz w:val="19"/>
              </w:rPr>
              <w:t>Equity rotation, credit, rates, volatility, momentum, macro / survey</w:t>
            </w:r>
          </w:p>
        </w:tc>
      </w:tr>
      <w:tr>
        <w:tc>
          <w:tcPr>
            <w:tcW w:type="dxa" w:w="2880"/>
          </w:tcPr>
          <w:p>
            <w:pPr>
              <w:spacing w:before="20" w:after="20"/>
            </w:pPr>
            <w:r/>
            <w:r>
              <w:rPr>
                <w:sz w:val="19"/>
              </w:rPr>
              <w:t>Europe / UK</w:t>
            </w:r>
          </w:p>
        </w:tc>
        <w:tc>
          <w:tcPr>
            <w:tcW w:type="dxa" w:w="864"/>
          </w:tcPr>
          <w:p>
            <w:pPr>
              <w:spacing w:before="20" w:after="20"/>
            </w:pPr>
            <w:r/>
            <w:r>
              <w:rPr>
                <w:sz w:val="19"/>
              </w:rPr>
              <w:t>11</w:t>
            </w:r>
          </w:p>
        </w:tc>
        <w:tc>
          <w:tcPr>
            <w:tcW w:type="dxa" w:w="5616"/>
          </w:tcPr>
          <w:p>
            <w:pPr>
              <w:spacing w:before="20" w:after="20"/>
            </w:pPr>
            <w:r/>
            <w:r>
              <w:rPr>
                <w:sz w:val="19"/>
              </w:rPr>
              <w:t>European cyclicals, EU IG/HY credit, BTP-Bund, gilts, breakeven, GBP credit</w:t>
            </w:r>
          </w:p>
        </w:tc>
      </w:tr>
      <w:tr>
        <w:tc>
          <w:tcPr>
            <w:tcW w:type="dxa" w:w="2880"/>
          </w:tcPr>
          <w:p>
            <w:pPr>
              <w:spacing w:before="20" w:after="20"/>
            </w:pPr>
            <w:r/>
            <w:r>
              <w:rPr>
                <w:sz w:val="19"/>
              </w:rPr>
              <w:t>Japan</w:t>
            </w:r>
          </w:p>
        </w:tc>
        <w:tc>
          <w:tcPr>
            <w:tcW w:type="dxa" w:w="864"/>
          </w:tcPr>
          <w:p>
            <w:pPr>
              <w:spacing w:before="20" w:after="20"/>
            </w:pPr>
            <w:r/>
            <w:r>
              <w:rPr>
                <w:sz w:val="19"/>
              </w:rPr>
              <w:t>1</w:t>
            </w:r>
          </w:p>
        </w:tc>
        <w:tc>
          <w:tcPr>
            <w:tcW w:type="dxa" w:w="5616"/>
          </w:tcPr>
          <w:p>
            <w:pPr>
              <w:spacing w:before="20" w:after="20"/>
            </w:pPr>
            <w:r/>
            <w:r>
              <w:rPr>
                <w:sz w:val="19"/>
              </w:rPr>
              <w:t>Japan vs global equities</w:t>
            </w:r>
          </w:p>
        </w:tc>
      </w:tr>
      <w:tr>
        <w:tc>
          <w:tcPr>
            <w:tcW w:type="dxa" w:w="2880"/>
          </w:tcPr>
          <w:p>
            <w:pPr>
              <w:spacing w:before="20" w:after="20"/>
            </w:pPr>
            <w:r/>
            <w:r>
              <w:rPr>
                <w:sz w:val="19"/>
              </w:rPr>
              <w:t>Asia (China / India)</w:t>
            </w:r>
          </w:p>
        </w:tc>
        <w:tc>
          <w:tcPr>
            <w:tcW w:type="dxa" w:w="864"/>
          </w:tcPr>
          <w:p>
            <w:pPr>
              <w:spacing w:before="20" w:after="20"/>
            </w:pPr>
            <w:r/>
            <w:r>
              <w:rPr>
                <w:sz w:val="19"/>
              </w:rPr>
              <w:t>6</w:t>
            </w:r>
          </w:p>
        </w:tc>
        <w:tc>
          <w:tcPr>
            <w:tcW w:type="dxa" w:w="5616"/>
          </w:tcPr>
          <w:p>
            <w:pPr>
              <w:spacing w:before="20" w:after="20"/>
            </w:pPr>
            <w:r/>
            <w:r>
              <w:rPr>
                <w:sz w:val="19"/>
              </w:rPr>
              <w:t>Size, growth, rates</w:t>
            </w:r>
          </w:p>
        </w:tc>
      </w:tr>
      <w:tr>
        <w:tc>
          <w:tcPr>
            <w:tcW w:type="dxa" w:w="2880"/>
          </w:tcPr>
          <w:p>
            <w:pPr>
              <w:spacing w:before="20" w:after="20"/>
            </w:pPr>
            <w:r/>
            <w:r>
              <w:rPr>
                <w:sz w:val="19"/>
              </w:rPr>
              <w:t>Global</w:t>
            </w:r>
          </w:p>
        </w:tc>
        <w:tc>
          <w:tcPr>
            <w:tcW w:type="dxa" w:w="864"/>
          </w:tcPr>
          <w:p>
            <w:pPr>
              <w:spacing w:before="20" w:after="20"/>
            </w:pPr>
            <w:r/>
            <w:r>
              <w:rPr>
                <w:sz w:val="19"/>
              </w:rPr>
              <w:t>8</w:t>
            </w:r>
          </w:p>
        </w:tc>
        <w:tc>
          <w:tcPr>
            <w:tcW w:type="dxa" w:w="5616"/>
          </w:tcPr>
          <w:p>
            <w:pPr>
              <w:spacing w:before="20" w:after="20"/>
            </w:pPr>
            <w:r/>
            <w:r>
              <w:rPr>
                <w:sz w:val="19"/>
              </w:rPr>
              <w:t>Risk appetite, EM vs DM, CLI differentials and breadth</w:t>
            </w:r>
          </w:p>
        </w:tc>
      </w:tr>
      <w:tr>
        <w:tc>
          <w:tcPr>
            <w:tcW w:type="dxa" w:w="2880"/>
          </w:tcPr>
          <w:p>
            <w:pPr>
              <w:spacing w:before="20" w:after="20"/>
            </w:pPr>
            <w:r/>
            <w:r>
              <w:rPr>
                <w:sz w:val="19"/>
              </w:rPr>
              <w:t>FX &amp; Commodities</w:t>
            </w:r>
          </w:p>
        </w:tc>
        <w:tc>
          <w:tcPr>
            <w:tcW w:type="dxa" w:w="864"/>
          </w:tcPr>
          <w:p>
            <w:pPr>
              <w:spacing w:before="20" w:after="20"/>
            </w:pPr>
            <w:r/>
            <w:r>
              <w:rPr>
                <w:sz w:val="19"/>
              </w:rPr>
              <w:t>9</w:t>
            </w:r>
          </w:p>
        </w:tc>
        <w:tc>
          <w:tcPr>
            <w:tcW w:type="dxa" w:w="5616"/>
          </w:tcPr>
          <w:p>
            <w:pPr>
              <w:spacing w:before="20" w:after="20"/>
            </w:pPr>
            <w:r/>
            <w:r>
              <w:rPr>
                <w:sz w:val="19"/>
              </w:rPr>
              <w:t>Copper/gold, dollar, iron ore, commodity and FX momentum</w:t>
            </w:r>
          </w:p>
        </w:tc>
      </w:tr>
      <w:tr>
        <w:tc>
          <w:tcPr>
            <w:tcW w:type="dxa" w:w="2880"/>
          </w:tcPr>
          <w:p>
            <w:pPr>
              <w:spacing w:before="20" w:after="20"/>
            </w:pPr>
            <w:r/>
            <w:r>
              <w:rPr>
                <w:sz w:val="19"/>
              </w:rPr>
              <w:t>Survey composites</w:t>
            </w:r>
          </w:p>
        </w:tc>
        <w:tc>
          <w:tcPr>
            <w:tcW w:type="dxa" w:w="864"/>
          </w:tcPr>
          <w:p>
            <w:pPr>
              <w:spacing w:before="20" w:after="20"/>
            </w:pPr>
            <w:r/>
            <w:r>
              <w:rPr>
                <w:sz w:val="19"/>
              </w:rPr>
              <w:t>23</w:t>
            </w:r>
          </w:p>
        </w:tc>
        <w:tc>
          <w:tcPr>
            <w:tcW w:type="dxa" w:w="5616"/>
          </w:tcPr>
          <w:p>
            <w:pPr>
              <w:spacing w:before="20" w:after="20"/>
            </w:pPr>
            <w:r/>
            <w:r>
              <w:rPr>
                <w:sz w:val="19"/>
              </w:rPr>
              <w:t>Country-level OECD CLI / business / consumer confidence, ISM, PMI</w:t>
            </w:r>
          </w:p>
        </w:tc>
      </w:tr>
    </w:tbl>
    <w:p/>
    <w:p>
      <w:pPr>
        <w:pStyle w:val="Heading2"/>
        <w:spacing w:before="200" w:after="40"/>
      </w:pPr>
      <w:r>
        <w:t>6.5  Six worked examples</w:t>
      </w:r>
    </w:p>
    <w:p>
      <w:pPr>
        <w:spacing w:after="120"/>
      </w:pPr>
      <w:r>
        <w:rPr>
          <w:b w:val="0"/>
          <w:i w:val="0"/>
          <w:sz w:val="21"/>
        </w:rPr>
        <w:t>The six examples that follow span the full breadth of the library: an equity-rotation log-ratio, a credit-spread level-and-z hybrid, a yield-curve arithmetic difference, an equity-volatility term-structure spread, a cross-commodity log-ratio, and a multi-country survey composite. Each card lists the formula, the data sources, the regime thresholds, an interpretation, and the supporting academic references.</w:t>
      </w:r>
    </w:p>
    <w:tbl>
      <w:tblPr>
        <w:tblStyle w:val="TableGrid"/>
        <w:tblW w:type="auto" w:w="0"/>
        <w:tblLayout w:type="fixed"/>
        <w:tblLook w:firstColumn="1" w:firstRow="1" w:lastColumn="0" w:lastRow="0" w:noHBand="0" w:noVBand="1" w:val="04A0"/>
      </w:tblPr>
      <w:tblGrid>
        <w:gridCol w:w="1584"/>
        <w:gridCol w:w="7776"/>
      </w:tblGrid>
      <w:tr>
        <w:tc>
          <w:tcPr>
            <w:tcW w:type="dxa" w:w="9072"/>
            <w:gridSpan w:val="2"/>
            <w:shd w:val="clear" w:color="auto" w:fill="D9E2F3"/>
          </w:tcPr>
          <w:p>
            <w:pPr>
              <w:spacing w:before="40" w:after="40"/>
            </w:pPr>
            <w:r>
              <w:rPr>
                <w:b/>
                <w:sz w:val="22"/>
              </w:rPr>
              <w:t>US_G1  —  Cyclicals vs Defensives (Discretionary / Staples)</w:t>
            </w:r>
          </w:p>
        </w:tc>
      </w:tr>
      <w:tr>
        <w:tc>
          <w:tcPr>
            <w:tcW w:type="dxa" w:w="4536"/>
            <w:shd w:val="clear" w:color="auto" w:fill="F2F2F2"/>
          </w:tcPr>
          <w:p>
            <w:pPr>
              <w:spacing w:before="40" w:after="40"/>
            </w:pPr>
            <w:r>
              <w:rPr>
                <w:b/>
                <w:sz w:val="19"/>
              </w:rPr>
              <w:t>Formula</w:t>
            </w:r>
          </w:p>
        </w:tc>
        <w:tc>
          <w:tcPr>
            <w:tcW w:type="dxa" w:w="4536"/>
          </w:tcPr>
          <w:p>
            <w:pPr>
              <w:spacing w:before="40" w:after="40"/>
              <w:jc w:val="center"/>
            </w:pPr>
            <m:oMathPara>
              <m:oMath>
                <m:r>
                  <m:t>I</m:t>
                </m:r>
                <m:r>
                  <m:t>=</m:t>
                </m:r>
                <m:func>
                  <m:fName>
                    <m:r>
                      <m:rPr>
                        <m:sty m:val="p"/>
                      </m:rPr>
                      <m:t>log</m:t>
                    </m:r>
                  </m:fName>
                  <m:e>
                    <m:f>
                      <m:num>
                        <m:r>
                          <m:rPr>
                            <m:sty m:val="p"/>
                          </m:rPr>
                          <m:t>XLY</m:t>
                        </m:r>
                      </m:num>
                      <m:den>
                        <m:r>
                          <m:rPr>
                            <m:sty m:val="p"/>
                          </m:rPr>
                          <m:t>XLP</m:t>
                        </m:r>
                      </m:den>
                    </m:f>
                  </m:e>
                </m:func>
              </m:oMath>
            </m:oMathPara>
          </w:p>
        </w:tc>
      </w:tr>
      <w:tr>
        <w:tc>
          <w:tcPr>
            <w:tcW w:type="dxa" w:w="4536"/>
            <w:shd w:val="clear" w:color="auto" w:fill="F2F2F2"/>
          </w:tcPr>
          <w:p>
            <w:pPr>
              <w:spacing w:before="40" w:after="40"/>
            </w:pPr>
            <w:r>
              <w:rPr>
                <w:b/>
                <w:sz w:val="19"/>
              </w:rPr>
              <w:t>Data</w:t>
            </w:r>
          </w:p>
        </w:tc>
        <w:tc>
          <w:tcPr>
            <w:tcW w:type="dxa" w:w="4536"/>
          </w:tcPr>
          <w:p>
            <w:pPr>
              <w:spacing w:before="40" w:after="40"/>
            </w:pPr>
            <w:r>
              <w:rPr>
                <w:i w:val="0"/>
                <w:sz w:val="19"/>
              </w:rPr>
              <w:t>SPDR Consumer Discretionary ETF (XLY) and SPDR Consumer Staples ETF (XLP), yfinance total-return.</w:t>
            </w:r>
          </w:p>
        </w:tc>
      </w:tr>
      <w:tr>
        <w:tc>
          <w:tcPr>
            <w:tcW w:type="dxa" w:w="4536"/>
            <w:shd w:val="clear" w:color="auto" w:fill="F2F2F2"/>
          </w:tcPr>
          <w:p>
            <w:pPr>
              <w:spacing w:before="40" w:after="40"/>
            </w:pPr>
            <w:r>
              <w:rPr>
                <w:b/>
                <w:sz w:val="19"/>
              </w:rPr>
              <w:t>Lookback</w:t>
            </w:r>
          </w:p>
        </w:tc>
        <w:tc>
          <w:tcPr>
            <w:tcW w:type="dxa" w:w="4536"/>
          </w:tcPr>
          <w:p>
            <w:pPr>
              <w:spacing w:before="40" w:after="40"/>
            </w:pPr>
            <w:r>
              <w:rPr>
                <w:i w:val="0"/>
                <w:sz w:val="19"/>
              </w:rPr>
              <w:t>156-week rolling z-score of the log-ratio.</w:t>
            </w:r>
          </w:p>
        </w:tc>
      </w:tr>
      <w:tr>
        <w:tc>
          <w:tcPr>
            <w:tcW w:type="dxa" w:w="4536"/>
            <w:shd w:val="clear" w:color="auto" w:fill="F2F2F2"/>
          </w:tcPr>
          <w:p>
            <w:pPr>
              <w:spacing w:before="40" w:after="40"/>
            </w:pPr>
            <w:r>
              <w:rPr>
                <w:b/>
                <w:sz w:val="19"/>
              </w:rPr>
              <w:t>Regime</w:t>
            </w:r>
          </w:p>
        </w:tc>
        <w:tc>
          <w:tcPr>
            <w:tcW w:type="dxa" w:w="4536"/>
          </w:tcPr>
          <w:p>
            <w:pPr>
              <w:spacing w:before="20" w:after="20"/>
            </w:pPr>
            <w:r>
              <w:rPr>
                <w:b/>
                <w:sz w:val="19"/>
              </w:rPr>
              <w:t>z &gt; +1</w:t>
            </w:r>
            <w:r>
              <w:rPr>
                <w:sz w:val="19"/>
              </w:rPr>
              <w:t xml:space="preserve">   →   </w:t>
            </w:r>
            <w:r>
              <w:rPr>
                <w:sz w:val="19"/>
              </w:rPr>
              <w:t>pro-growth — OW discretionary, HY credit, cyclicals</w:t>
            </w:r>
          </w:p>
          <w:p>
            <w:pPr>
              <w:spacing w:before="20" w:after="20"/>
            </w:pPr>
            <w:r>
              <w:rPr>
                <w:b/>
                <w:sz w:val="19"/>
              </w:rPr>
              <w:t>|z| ≤ 1</w:t>
            </w:r>
            <w:r>
              <w:rPr>
                <w:sz w:val="19"/>
              </w:rPr>
              <w:t xml:space="preserve">   →   </w:t>
            </w:r>
            <w:r>
              <w:rPr>
                <w:sz w:val="19"/>
              </w:rPr>
              <w:t>neutral — balanced allocation</w:t>
            </w:r>
          </w:p>
          <w:p>
            <w:pPr>
              <w:spacing w:before="20" w:after="20"/>
            </w:pPr>
            <w:r>
              <w:rPr>
                <w:b/>
                <w:sz w:val="19"/>
              </w:rPr>
              <w:t>z &lt; −1</w:t>
            </w:r>
            <w:r>
              <w:rPr>
                <w:sz w:val="19"/>
              </w:rPr>
              <w:t xml:space="preserve">   →   </w:t>
            </w:r>
            <w:r>
              <w:rPr>
                <w:sz w:val="19"/>
              </w:rPr>
              <w:t>defensive — OW staples, IG, defensive sectors</w:t>
            </w:r>
          </w:p>
        </w:tc>
      </w:tr>
      <w:tr>
        <w:tc>
          <w:tcPr>
            <w:tcW w:type="dxa" w:w="4536"/>
            <w:shd w:val="clear" w:color="auto" w:fill="F2F2F2"/>
          </w:tcPr>
          <w:p>
            <w:pPr>
              <w:spacing w:before="40" w:after="40"/>
            </w:pPr>
            <w:r>
              <w:rPr>
                <w:b/>
                <w:sz w:val="19"/>
              </w:rPr>
              <w:t>Interpretation</w:t>
            </w:r>
          </w:p>
        </w:tc>
        <w:tc>
          <w:tcPr>
            <w:tcW w:type="dxa" w:w="4536"/>
          </w:tcPr>
          <w:p>
            <w:pPr>
              <w:spacing w:before="40" w:after="40"/>
            </w:pPr>
            <w:r>
              <w:rPr>
                <w:i w:val="0"/>
                <w:sz w:val="19"/>
              </w:rPr>
              <w:t>Households purchase discretionaries when they feel financially secure and curtail them in stress; staples spending is near-inelastic. The ratio therefore distils aggregate consumer confidence and tends to peak three to six months ahead of the economic cycle.</w:t>
            </w:r>
          </w:p>
        </w:tc>
      </w:tr>
      <w:tr>
        <w:tc>
          <w:tcPr>
            <w:tcW w:type="dxa" w:w="4536"/>
            <w:shd w:val="clear" w:color="auto" w:fill="F2F2F2"/>
          </w:tcPr>
          <w:p>
            <w:pPr>
              <w:spacing w:before="40" w:after="40"/>
            </w:pPr>
            <w:r>
              <w:rPr>
                <w:b/>
                <w:sz w:val="19"/>
              </w:rPr>
              <w:t>References</w:t>
            </w:r>
          </w:p>
        </w:tc>
        <w:tc>
          <w:tcPr>
            <w:tcW w:type="dxa" w:w="4536"/>
          </w:tcPr>
          <w:p>
            <w:pPr>
              <w:spacing w:before="40" w:after="40"/>
            </w:pPr>
            <w:r>
              <w:rPr>
                <w:i/>
                <w:sz w:val="18"/>
              </w:rPr>
              <w:t>Friedman (1957) permanent-income hypothesis; Fama &amp; French (1989) on cyclicals leading staples around cycle turns; Conference Board LEI methodology.</w:t>
            </w:r>
          </w:p>
        </w:tc>
      </w:tr>
    </w:tbl>
    <w:p/>
    <w:tbl>
      <w:tblPr>
        <w:tblStyle w:val="TableGrid"/>
        <w:tblW w:type="auto" w:w="0"/>
        <w:tblLayout w:type="fixed"/>
        <w:tblLook w:firstColumn="1" w:firstRow="1" w:lastColumn="0" w:lastRow="0" w:noHBand="0" w:noVBand="1" w:val="04A0"/>
      </w:tblPr>
      <w:tblGrid>
        <w:gridCol w:w="1584"/>
        <w:gridCol w:w="7776"/>
      </w:tblGrid>
      <w:tr>
        <w:tc>
          <w:tcPr>
            <w:tcW w:type="dxa" w:w="9072"/>
            <w:gridSpan w:val="2"/>
            <w:shd w:val="clear" w:color="auto" w:fill="D9E2F3"/>
          </w:tcPr>
          <w:p>
            <w:pPr>
              <w:spacing w:before="40" w:after="40"/>
            </w:pPr>
            <w:r>
              <w:rPr>
                <w:b/>
                <w:sz w:val="22"/>
              </w:rPr>
              <w:t>US_Cr2  —  US High-Yield Credit Spread (5-regime)</w:t>
            </w:r>
          </w:p>
        </w:tc>
      </w:tr>
      <w:tr>
        <w:tc>
          <w:tcPr>
            <w:tcW w:type="dxa" w:w="4536"/>
            <w:shd w:val="clear" w:color="auto" w:fill="F2F2F2"/>
          </w:tcPr>
          <w:p>
            <w:pPr>
              <w:spacing w:before="40" w:after="40"/>
            </w:pPr>
            <w:r>
              <w:rPr>
                <w:b/>
                <w:sz w:val="19"/>
              </w:rPr>
              <w:t>Formula</w:t>
            </w:r>
          </w:p>
        </w:tc>
        <w:tc>
          <w:tcPr>
            <w:tcW w:type="dxa" w:w="4536"/>
          </w:tcPr>
          <w:p>
            <w:pPr>
              <w:spacing w:before="40" w:after="40"/>
              <w:jc w:val="center"/>
            </w:pPr>
            <m:oMathPara>
              <m:oMath>
                <m:r>
                  <m:rPr>
                    <m:sty m:val="p"/>
                  </m:rPr>
                  <m:t>regime</m:t>
                </m:r>
                <m:r>
                  <m:t>=</m:t>
                </m:r>
                <m:d>
                  <m:dPr>
                    <m:begChr m:val="{"/>
                    <m:endChr m:val=""/>
                  </m:dPr>
                  <m:e>
                    <m:eqArr>
                      <m:eqArrPr>
                        <m:baseJc m:val="center"/>
                      </m:eqArrPr>
                      <m:e>
                        <m:r>
                          <m:rPr>
                            <m:sty m:val="p"/>
                          </m:rPr>
                          <m:t>opportunity</m:t>
                        </m:r>
                        <m:r>
                          <m:rPr>
                            <m:sty m:val="p"/>
                          </m:rPr>
                          <m:t>,   if HY_OAS &gt; 800   ∨   z &gt; +2</m:t>
                        </m:r>
                      </m:e>
                      <m:e>
                        <m:r>
                          <m:rPr>
                            <m:sty m:val="p"/>
                          </m:rPr>
                          <m:t>stress</m:t>
                        </m:r>
                        <m:r>
                          <m:rPr>
                            <m:sty m:val="p"/>
                          </m:rPr>
                          <m:t>,            if HY_OAS &gt; 500   ∧   z &gt; +1</m:t>
                        </m:r>
                      </m:e>
                      <m:e>
                        <m:r>
                          <m:rPr>
                            <m:sty m:val="p"/>
                          </m:rPr>
                          <m:t>normal</m:t>
                        </m:r>
                        <m:r>
                          <m:rPr>
                            <m:sty m:val="p"/>
                          </m:rPr>
                          <m:t>,          if 400 ≤ HY_OAS ≤ 600   ∧   |z| &lt; 1</m:t>
                        </m:r>
                      </m:e>
                      <m:e>
                        <m:r>
                          <m:rPr>
                            <m:sty m:val="p"/>
                          </m:rPr>
                          <m:t>complacent</m:t>
                        </m:r>
                        <m:r>
                          <m:rPr>
                            <m:sty m:val="p"/>
                          </m:rPr>
                          <m:t>,   if HY_OAS &lt; 400   ∧   z &lt; −0.5</m:t>
                        </m:r>
                      </m:e>
                      <m:e>
                        <m:r>
                          <m:rPr>
                            <m:sty m:val="p"/>
                          </m:rPr>
                          <m:t>frothy</m:t>
                        </m:r>
                        <m:r>
                          <m:rPr>
                            <m:sty m:val="p"/>
                          </m:rPr>
                          <m:t>,            if HY_OAS &lt; 300   ∧   z &lt; −1</m:t>
                        </m:r>
                      </m:e>
                    </m:eqArr>
                  </m:e>
                </m:d>
              </m:oMath>
            </m:oMathPara>
          </w:p>
        </w:tc>
      </w:tr>
      <w:tr>
        <w:tc>
          <w:tcPr>
            <w:tcW w:type="dxa" w:w="4536"/>
            <w:shd w:val="clear" w:color="auto" w:fill="F2F2F2"/>
          </w:tcPr>
          <w:p>
            <w:pPr>
              <w:spacing w:before="40" w:after="40"/>
            </w:pPr>
            <w:r>
              <w:rPr>
                <w:b/>
                <w:sz w:val="19"/>
              </w:rPr>
              <w:t>Data</w:t>
            </w:r>
          </w:p>
        </w:tc>
        <w:tc>
          <w:tcPr>
            <w:tcW w:type="dxa" w:w="4536"/>
          </w:tcPr>
          <w:p>
            <w:pPr>
              <w:spacing w:before="40" w:after="40"/>
            </w:pPr>
            <w:r>
              <w:rPr>
                <w:i w:val="0"/>
                <w:sz w:val="19"/>
              </w:rPr>
              <w:t>ICE BofA US High Yield OAS (FRED: BAMLH0A0HYM2) and the 10-year Treasury yield (FRED: DGS10) for context.</w:t>
            </w:r>
          </w:p>
        </w:tc>
      </w:tr>
      <w:tr>
        <w:tc>
          <w:tcPr>
            <w:tcW w:type="dxa" w:w="4536"/>
            <w:shd w:val="clear" w:color="auto" w:fill="F2F2F2"/>
          </w:tcPr>
          <w:p>
            <w:pPr>
              <w:spacing w:before="40" w:after="40"/>
            </w:pPr>
            <w:r>
              <w:rPr>
                <w:b/>
                <w:sz w:val="19"/>
              </w:rPr>
              <w:t>Lookback</w:t>
            </w:r>
          </w:p>
        </w:tc>
        <w:tc>
          <w:tcPr>
            <w:tcW w:type="dxa" w:w="4536"/>
          </w:tcPr>
          <w:p>
            <w:pPr>
              <w:spacing w:before="40" w:after="40"/>
            </w:pPr>
            <w:r>
              <w:rPr>
                <w:i w:val="0"/>
                <w:sz w:val="19"/>
              </w:rPr>
              <w:t>Regime is a level / z-score hybrid; z computed on a 156-week window.</w:t>
            </w:r>
          </w:p>
        </w:tc>
      </w:tr>
      <w:tr>
        <w:tc>
          <w:tcPr>
            <w:tcW w:type="dxa" w:w="4536"/>
            <w:shd w:val="clear" w:color="auto" w:fill="F2F2F2"/>
          </w:tcPr>
          <w:p>
            <w:pPr>
              <w:spacing w:before="40" w:after="40"/>
            </w:pPr>
            <w:r>
              <w:rPr>
                <w:b/>
                <w:sz w:val="19"/>
              </w:rPr>
              <w:t>Regime</w:t>
            </w:r>
          </w:p>
        </w:tc>
        <w:tc>
          <w:tcPr>
            <w:tcW w:type="dxa" w:w="4536"/>
          </w:tcPr>
          <w:p>
            <w:pPr>
              <w:spacing w:before="20" w:after="20"/>
            </w:pPr>
            <w:r>
              <w:rPr>
                <w:b/>
                <w:sz w:val="19"/>
              </w:rPr>
              <w:t>Spread &gt; 800 bps   ∨   z &gt; +2</w:t>
            </w:r>
            <w:r>
              <w:rPr>
                <w:sz w:val="19"/>
              </w:rPr>
              <w:t xml:space="preserve">   →   </w:t>
            </w:r>
            <w:r>
              <w:rPr>
                <w:sz w:val="19"/>
              </w:rPr>
              <w:t>opportunity</w:t>
            </w:r>
          </w:p>
          <w:p>
            <w:pPr>
              <w:spacing w:before="20" w:after="20"/>
            </w:pPr>
            <w:r>
              <w:rPr>
                <w:b/>
                <w:sz w:val="19"/>
              </w:rPr>
              <w:t>Spread &gt; 500 bps   ∧   z &gt; +1</w:t>
            </w:r>
            <w:r>
              <w:rPr>
                <w:sz w:val="19"/>
              </w:rPr>
              <w:t xml:space="preserve">   →   </w:t>
            </w:r>
            <w:r>
              <w:rPr>
                <w:sz w:val="19"/>
              </w:rPr>
              <w:t>stress</w:t>
            </w:r>
          </w:p>
          <w:p>
            <w:pPr>
              <w:spacing w:before="20" w:after="20"/>
            </w:pPr>
            <w:r>
              <w:rPr>
                <w:b/>
                <w:sz w:val="19"/>
              </w:rPr>
              <w:t>400 ≤ spread ≤ 600   ∧   |z| &lt; 1</w:t>
            </w:r>
            <w:r>
              <w:rPr>
                <w:sz w:val="19"/>
              </w:rPr>
              <w:t xml:space="preserve">   →   </w:t>
            </w:r>
            <w:r>
              <w:rPr>
                <w:sz w:val="19"/>
              </w:rPr>
              <w:t>normal</w:t>
            </w:r>
          </w:p>
          <w:p>
            <w:pPr>
              <w:spacing w:before="20" w:after="20"/>
            </w:pPr>
            <w:r>
              <w:rPr>
                <w:b/>
                <w:sz w:val="19"/>
              </w:rPr>
              <w:t>Spread &lt; 400 bps   ∧   z &lt; −0.5</w:t>
            </w:r>
            <w:r>
              <w:rPr>
                <w:sz w:val="19"/>
              </w:rPr>
              <w:t xml:space="preserve">   →   </w:t>
            </w:r>
            <w:r>
              <w:rPr>
                <w:sz w:val="19"/>
              </w:rPr>
              <w:t>complacent</w:t>
            </w:r>
          </w:p>
          <w:p>
            <w:pPr>
              <w:spacing w:before="20" w:after="20"/>
            </w:pPr>
            <w:r>
              <w:rPr>
                <w:b/>
                <w:sz w:val="19"/>
              </w:rPr>
              <w:t>Spread &lt; 300 bps   ∧   z &lt; −1</w:t>
            </w:r>
            <w:r>
              <w:rPr>
                <w:sz w:val="19"/>
              </w:rPr>
              <w:t xml:space="preserve">   →   </w:t>
            </w:r>
            <w:r>
              <w:rPr>
                <w:sz w:val="19"/>
              </w:rPr>
              <w:t>frothy</w:t>
            </w:r>
          </w:p>
        </w:tc>
      </w:tr>
      <w:tr>
        <w:tc>
          <w:tcPr>
            <w:tcW w:type="dxa" w:w="4536"/>
            <w:shd w:val="clear" w:color="auto" w:fill="F2F2F2"/>
          </w:tcPr>
          <w:p>
            <w:pPr>
              <w:spacing w:before="40" w:after="40"/>
            </w:pPr>
            <w:r>
              <w:rPr>
                <w:b/>
                <w:sz w:val="19"/>
              </w:rPr>
              <w:t>Interpretation</w:t>
            </w:r>
          </w:p>
        </w:tc>
        <w:tc>
          <w:tcPr>
            <w:tcW w:type="dxa" w:w="4536"/>
          </w:tcPr>
          <w:p>
            <w:pPr>
              <w:spacing w:before="40" w:after="40"/>
            </w:pPr>
            <w:r>
              <w:rPr>
                <w:i w:val="0"/>
                <w:sz w:val="19"/>
              </w:rPr>
              <w:t>The HY spread is the most sensitive real-time measure of credit conditions. Five regimes are required because at the extremes, structural levels (the 800 bps contrarian buy zone, the 300 bps frothy zone) carry signal that pure z-score normalisation would lose by adapting to regime drift.</w:t>
            </w:r>
          </w:p>
        </w:tc>
      </w:tr>
      <w:tr>
        <w:tc>
          <w:tcPr>
            <w:tcW w:type="dxa" w:w="4536"/>
            <w:shd w:val="clear" w:color="auto" w:fill="F2F2F2"/>
          </w:tcPr>
          <w:p>
            <w:pPr>
              <w:spacing w:before="40" w:after="40"/>
            </w:pPr>
            <w:r>
              <w:rPr>
                <w:b/>
                <w:sz w:val="19"/>
              </w:rPr>
              <w:t>References</w:t>
            </w:r>
          </w:p>
        </w:tc>
        <w:tc>
          <w:tcPr>
            <w:tcW w:type="dxa" w:w="4536"/>
          </w:tcPr>
          <w:p>
            <w:pPr>
              <w:spacing w:before="40" w:after="40"/>
            </w:pPr>
            <w:r>
              <w:rPr>
                <w:i/>
                <w:sz w:val="18"/>
              </w:rPr>
              <w:t>Altman (1968) Z-score / default-probability framework; Merton (1974) structural credit model; Duffie &amp; Singleton (1999); T. Rowe Price post-crisis recovery study (CFA Institute analysis).</w:t>
            </w:r>
          </w:p>
        </w:tc>
      </w:tr>
    </w:tbl>
    <w:p/>
    <w:tbl>
      <w:tblPr>
        <w:tblStyle w:val="TableGrid"/>
        <w:tblW w:type="auto" w:w="0"/>
        <w:tblLayout w:type="fixed"/>
        <w:tblLook w:firstColumn="1" w:firstRow="1" w:lastColumn="0" w:lastRow="0" w:noHBand="0" w:noVBand="1" w:val="04A0"/>
      </w:tblPr>
      <w:tblGrid>
        <w:gridCol w:w="1584"/>
        <w:gridCol w:w="7776"/>
      </w:tblGrid>
      <w:tr>
        <w:tc>
          <w:tcPr>
            <w:tcW w:type="dxa" w:w="9072"/>
            <w:gridSpan w:val="2"/>
            <w:shd w:val="clear" w:color="auto" w:fill="D9E2F3"/>
          </w:tcPr>
          <w:p>
            <w:pPr>
              <w:spacing w:before="40" w:after="40"/>
            </w:pPr>
            <w:r>
              <w:rPr>
                <w:b/>
                <w:sz w:val="22"/>
              </w:rPr>
              <w:t>US_R1  —  Yield-Curve Slope 10Y − 3M</w:t>
            </w:r>
          </w:p>
        </w:tc>
      </w:tr>
      <w:tr>
        <w:tc>
          <w:tcPr>
            <w:tcW w:type="dxa" w:w="4536"/>
            <w:shd w:val="clear" w:color="auto" w:fill="F2F2F2"/>
          </w:tcPr>
          <w:p>
            <w:pPr>
              <w:spacing w:before="40" w:after="40"/>
            </w:pPr>
            <w:r>
              <w:rPr>
                <w:b/>
                <w:sz w:val="19"/>
              </w:rPr>
              <w:t>Formula</w:t>
            </w:r>
          </w:p>
        </w:tc>
        <w:tc>
          <w:tcPr>
            <w:tcW w:type="dxa" w:w="4536"/>
          </w:tcPr>
          <w:p>
            <w:pPr>
              <w:spacing w:before="40" w:after="40"/>
              <w:jc w:val="center"/>
            </w:pPr>
            <m:oMathPara>
              <m:oMath>
                <m:r>
                  <m:t>I</m:t>
                </m:r>
                <m:r>
                  <m:t>=</m:t>
                </m:r>
                <m:sSub>
                  <m:e>
                    <m:r>
                      <m:t>y</m:t>
                    </m:r>
                  </m:e>
                  <m:sub>
                    <m:r>
                      <m:rPr>
                        <m:sty m:val="p"/>
                      </m:rPr>
                      <m:t>10Y</m:t>
                    </m:r>
                  </m:sub>
                </m:sSub>
                <m:r>
                  <m:t>−</m:t>
                </m:r>
                <m:sSub>
                  <m:e>
                    <m:r>
                      <m:t>y</m:t>
                    </m:r>
                  </m:e>
                  <m:sub>
                    <m:r>
                      <m:rPr>
                        <m:sty m:val="p"/>
                      </m:rPr>
                      <m:t>3M</m:t>
                    </m:r>
                  </m:sub>
                </m:sSub>
              </m:oMath>
            </m:oMathPara>
          </w:p>
        </w:tc>
      </w:tr>
      <w:tr>
        <w:tc>
          <w:tcPr>
            <w:tcW w:type="dxa" w:w="4536"/>
            <w:shd w:val="clear" w:color="auto" w:fill="F2F2F2"/>
          </w:tcPr>
          <w:p>
            <w:pPr>
              <w:spacing w:before="40" w:after="40"/>
            </w:pPr>
            <w:r>
              <w:rPr>
                <w:b/>
                <w:sz w:val="19"/>
              </w:rPr>
              <w:t>Data</w:t>
            </w:r>
          </w:p>
        </w:tc>
        <w:tc>
          <w:tcPr>
            <w:tcW w:type="dxa" w:w="4536"/>
          </w:tcPr>
          <w:p>
            <w:pPr>
              <w:spacing w:before="40" w:after="40"/>
            </w:pPr>
            <w:r>
              <w:rPr>
                <w:i w:val="0"/>
                <w:sz w:val="19"/>
              </w:rPr>
              <w:t>Federal Reserve H.15 release via FRED (T10Y3M = DGS10 − DGS3MO), in percentage points.</w:t>
            </w:r>
          </w:p>
        </w:tc>
      </w:tr>
      <w:tr>
        <w:tc>
          <w:tcPr>
            <w:tcW w:type="dxa" w:w="4536"/>
            <w:shd w:val="clear" w:color="auto" w:fill="F2F2F2"/>
          </w:tcPr>
          <w:p>
            <w:pPr>
              <w:spacing w:before="40" w:after="40"/>
            </w:pPr>
            <w:r>
              <w:rPr>
                <w:b/>
                <w:sz w:val="19"/>
              </w:rPr>
              <w:t>Lookback</w:t>
            </w:r>
          </w:p>
        </w:tc>
        <w:tc>
          <w:tcPr>
            <w:tcW w:type="dxa" w:w="4536"/>
          </w:tcPr>
          <w:p>
            <w:pPr>
              <w:spacing w:before="40" w:after="40"/>
            </w:pPr>
            <w:r>
              <w:rPr>
                <w:i w:val="0"/>
                <w:sz w:val="19"/>
              </w:rPr>
              <w:t>Level-based regime with z-score modulation; z computed on 156 weeks.</w:t>
            </w:r>
          </w:p>
        </w:tc>
      </w:tr>
      <w:tr>
        <w:tc>
          <w:tcPr>
            <w:tcW w:type="dxa" w:w="4536"/>
            <w:shd w:val="clear" w:color="auto" w:fill="F2F2F2"/>
          </w:tcPr>
          <w:p>
            <w:pPr>
              <w:spacing w:before="40" w:after="40"/>
            </w:pPr>
            <w:r>
              <w:rPr>
                <w:b/>
                <w:sz w:val="19"/>
              </w:rPr>
              <w:t>Regime</w:t>
            </w:r>
          </w:p>
        </w:tc>
        <w:tc>
          <w:tcPr>
            <w:tcW w:type="dxa" w:w="4536"/>
          </w:tcPr>
          <w:p>
            <w:pPr>
              <w:spacing w:before="20" w:after="20"/>
            </w:pPr>
            <w:r>
              <w:rPr>
                <w:b/>
                <w:sz w:val="19"/>
              </w:rPr>
              <w:t>Spread &lt; 0</w:t>
            </w:r>
            <w:r>
              <w:rPr>
                <w:sz w:val="19"/>
              </w:rPr>
              <w:t xml:space="preserve">   →   </w:t>
            </w:r>
            <w:r>
              <w:rPr>
                <w:sz w:val="19"/>
              </w:rPr>
              <w:t>recession-watch</w:t>
            </w:r>
          </w:p>
          <w:p>
            <w:pPr>
              <w:spacing w:before="20" w:after="20"/>
            </w:pPr>
            <w:r>
              <w:rPr>
                <w:b/>
                <w:sz w:val="19"/>
              </w:rPr>
              <w:t>Spread &gt; 0   ∧   z &gt; +1</w:t>
            </w:r>
            <w:r>
              <w:rPr>
                <w:sz w:val="19"/>
              </w:rPr>
              <w:t xml:space="preserve">   →   </w:t>
            </w:r>
            <w:r>
              <w:rPr>
                <w:sz w:val="19"/>
              </w:rPr>
              <w:t>early-cycle</w:t>
            </w:r>
          </w:p>
          <w:p>
            <w:pPr>
              <w:spacing w:before="20" w:after="20"/>
            </w:pPr>
            <w:r>
              <w:rPr>
                <w:b/>
                <w:sz w:val="19"/>
              </w:rPr>
              <w:t>Spread &gt; 0   ∧   |z| ≤ 1</w:t>
            </w:r>
            <w:r>
              <w:rPr>
                <w:sz w:val="19"/>
              </w:rPr>
              <w:t xml:space="preserve">   →   </w:t>
            </w:r>
            <w:r>
              <w:rPr>
                <w:sz w:val="19"/>
              </w:rPr>
              <w:t>mid-cycle</w:t>
            </w:r>
          </w:p>
          <w:p>
            <w:pPr>
              <w:spacing w:before="20" w:after="20"/>
            </w:pPr>
            <w:r>
              <w:rPr>
                <w:b/>
                <w:sz w:val="19"/>
              </w:rPr>
              <w:t>Spread &gt; 0   ∧   z &lt; −1</w:t>
            </w:r>
            <w:r>
              <w:rPr>
                <w:sz w:val="19"/>
              </w:rPr>
              <w:t xml:space="preserve">   →   </w:t>
            </w:r>
            <w:r>
              <w:rPr>
                <w:sz w:val="19"/>
              </w:rPr>
              <w:t>late-cycle</w:t>
            </w:r>
          </w:p>
        </w:tc>
      </w:tr>
      <w:tr>
        <w:tc>
          <w:tcPr>
            <w:tcW w:type="dxa" w:w="4536"/>
            <w:shd w:val="clear" w:color="auto" w:fill="F2F2F2"/>
          </w:tcPr>
          <w:p>
            <w:pPr>
              <w:spacing w:before="40" w:after="40"/>
            </w:pPr>
            <w:r>
              <w:rPr>
                <w:b/>
                <w:sz w:val="19"/>
              </w:rPr>
              <w:t>Interpretation</w:t>
            </w:r>
          </w:p>
        </w:tc>
        <w:tc>
          <w:tcPr>
            <w:tcW w:type="dxa" w:w="4536"/>
          </w:tcPr>
          <w:p>
            <w:pPr>
              <w:spacing w:before="40" w:after="40"/>
            </w:pPr>
            <w:r>
              <w:rPr>
                <w:i w:val="0"/>
                <w:sz w:val="19"/>
              </w:rPr>
              <w:t>The most empirically validated recession predictor in macroeconomics. The 3-month yield tracks the current Fed Funds Rate; the 10-year blends future-rate expectations with the term premium. Inversion implies the market expects the Fed will need to cut rates materially — which only happens in recessions.</w:t>
            </w:r>
          </w:p>
        </w:tc>
      </w:tr>
      <w:tr>
        <w:tc>
          <w:tcPr>
            <w:tcW w:type="dxa" w:w="4536"/>
            <w:shd w:val="clear" w:color="auto" w:fill="F2F2F2"/>
          </w:tcPr>
          <w:p>
            <w:pPr>
              <w:spacing w:before="40" w:after="40"/>
            </w:pPr>
            <w:r>
              <w:rPr>
                <w:b/>
                <w:sz w:val="19"/>
              </w:rPr>
              <w:t>References</w:t>
            </w:r>
          </w:p>
        </w:tc>
        <w:tc>
          <w:tcPr>
            <w:tcW w:type="dxa" w:w="4536"/>
          </w:tcPr>
          <w:p>
            <w:pPr>
              <w:spacing w:before="40" w:after="40"/>
            </w:pPr>
            <w:r>
              <w:rPr>
                <w:i/>
                <w:sz w:val="18"/>
              </w:rPr>
              <w:t>Estrella &amp; Mishkin (1996, NBER) — the curve outperforms all single recession indicators 4–6 quarters ahead. NY Fed publishes an ongoing recession-probability model based solely on this spread.</w:t>
            </w:r>
          </w:p>
        </w:tc>
      </w:tr>
    </w:tbl>
    <w:p/>
    <w:tbl>
      <w:tblPr>
        <w:tblStyle w:val="TableGrid"/>
        <w:tblW w:type="auto" w:w="0"/>
        <w:tblLayout w:type="fixed"/>
        <w:tblLook w:firstColumn="1" w:firstRow="1" w:lastColumn="0" w:lastRow="0" w:noHBand="0" w:noVBand="1" w:val="04A0"/>
      </w:tblPr>
      <w:tblGrid>
        <w:gridCol w:w="1584"/>
        <w:gridCol w:w="7776"/>
      </w:tblGrid>
      <w:tr>
        <w:tc>
          <w:tcPr>
            <w:tcW w:type="dxa" w:w="9072"/>
            <w:gridSpan w:val="2"/>
            <w:shd w:val="clear" w:color="auto" w:fill="D9E2F3"/>
          </w:tcPr>
          <w:p>
            <w:pPr>
              <w:spacing w:before="40" w:after="40"/>
            </w:pPr>
            <w:r>
              <w:rPr>
                <w:b/>
                <w:sz w:val="22"/>
              </w:rPr>
              <w:t>US_V1  —  VIX Term Structure (3-month minus 1-month)</w:t>
            </w:r>
          </w:p>
        </w:tc>
      </w:tr>
      <w:tr>
        <w:tc>
          <w:tcPr>
            <w:tcW w:type="dxa" w:w="4536"/>
            <w:shd w:val="clear" w:color="auto" w:fill="F2F2F2"/>
          </w:tcPr>
          <w:p>
            <w:pPr>
              <w:spacing w:before="40" w:after="40"/>
            </w:pPr>
            <w:r>
              <w:rPr>
                <w:b/>
                <w:sz w:val="19"/>
              </w:rPr>
              <w:t>Formula</w:t>
            </w:r>
          </w:p>
        </w:tc>
        <w:tc>
          <w:tcPr>
            <w:tcW w:type="dxa" w:w="4536"/>
          </w:tcPr>
          <w:p>
            <w:pPr>
              <w:spacing w:before="40" w:after="40"/>
              <w:jc w:val="center"/>
            </w:pPr>
            <m:oMathPara>
              <m:oMath>
                <m:r>
                  <m:t>I</m:t>
                </m:r>
                <m:r>
                  <m:t>=</m:t>
                </m:r>
                <m:r>
                  <m:rPr>
                    <m:sty m:val="p"/>
                  </m:rPr>
                  <m:t>VIX3M</m:t>
                </m:r>
                <m:r>
                  <m:t>−</m:t>
                </m:r>
                <m:r>
                  <m:rPr>
                    <m:sty m:val="p"/>
                  </m:rPr>
                  <m:t>VIX</m:t>
                </m:r>
              </m:oMath>
            </m:oMathPara>
          </w:p>
        </w:tc>
      </w:tr>
      <w:tr>
        <w:tc>
          <w:tcPr>
            <w:tcW w:type="dxa" w:w="4536"/>
            <w:shd w:val="clear" w:color="auto" w:fill="F2F2F2"/>
          </w:tcPr>
          <w:p>
            <w:pPr>
              <w:spacing w:before="40" w:after="40"/>
            </w:pPr>
            <w:r>
              <w:rPr>
                <w:b/>
                <w:sz w:val="19"/>
              </w:rPr>
              <w:t>Data</w:t>
            </w:r>
          </w:p>
        </w:tc>
        <w:tc>
          <w:tcPr>
            <w:tcW w:type="dxa" w:w="4536"/>
          </w:tcPr>
          <w:p>
            <w:pPr>
              <w:spacing w:before="40" w:after="40"/>
            </w:pPr>
            <w:r>
              <w:rPr>
                <w:i w:val="0"/>
                <w:sz w:val="19"/>
              </w:rPr>
              <w:t>CBOE 3-Month VIX (^VIX3M) and CBOE VIX (^VIX), yfinance.</w:t>
            </w:r>
          </w:p>
        </w:tc>
      </w:tr>
      <w:tr>
        <w:tc>
          <w:tcPr>
            <w:tcW w:type="dxa" w:w="4536"/>
            <w:shd w:val="clear" w:color="auto" w:fill="F2F2F2"/>
          </w:tcPr>
          <w:p>
            <w:pPr>
              <w:spacing w:before="40" w:after="40"/>
            </w:pPr>
            <w:r>
              <w:rPr>
                <w:b/>
                <w:sz w:val="19"/>
              </w:rPr>
              <w:t>Lookback</w:t>
            </w:r>
          </w:p>
        </w:tc>
        <w:tc>
          <w:tcPr>
            <w:tcW w:type="dxa" w:w="4536"/>
          </w:tcPr>
          <w:p>
            <w:pPr>
              <w:spacing w:before="40" w:after="40"/>
            </w:pPr>
            <w:r>
              <w:rPr>
                <w:i w:val="0"/>
                <w:sz w:val="19"/>
              </w:rPr>
              <w:t>Level-based regime with z-modulation in the positive regime; z over 156 weeks.</w:t>
            </w:r>
          </w:p>
        </w:tc>
      </w:tr>
      <w:tr>
        <w:tc>
          <w:tcPr>
            <w:tcW w:type="dxa" w:w="4536"/>
            <w:shd w:val="clear" w:color="auto" w:fill="F2F2F2"/>
          </w:tcPr>
          <w:p>
            <w:pPr>
              <w:spacing w:before="40" w:after="40"/>
            </w:pPr>
            <w:r>
              <w:rPr>
                <w:b/>
                <w:sz w:val="19"/>
              </w:rPr>
              <w:t>Regime</w:t>
            </w:r>
          </w:p>
        </w:tc>
        <w:tc>
          <w:tcPr>
            <w:tcW w:type="dxa" w:w="4536"/>
          </w:tcPr>
          <w:p>
            <w:pPr>
              <w:spacing w:before="20" w:after="20"/>
            </w:pPr>
            <w:r>
              <w:rPr>
                <w:b/>
                <w:sz w:val="19"/>
              </w:rPr>
              <w:t>VIX3M − VIX &lt; 0   (inversion)</w:t>
            </w:r>
            <w:r>
              <w:rPr>
                <w:sz w:val="19"/>
              </w:rPr>
              <w:t xml:space="preserve">   →   </w:t>
            </w:r>
            <w:r>
              <w:rPr>
                <w:sz w:val="19"/>
              </w:rPr>
              <w:t>stress</w:t>
            </w:r>
          </w:p>
          <w:p>
            <w:pPr>
              <w:spacing w:before="20" w:after="20"/>
            </w:pPr>
            <w:r>
              <w:rPr>
                <w:b/>
                <w:sz w:val="19"/>
              </w:rPr>
              <w:t>Spread &gt; 0   ∧   z &lt; −1</w:t>
            </w:r>
            <w:r>
              <w:rPr>
                <w:sz w:val="19"/>
              </w:rPr>
              <w:t xml:space="preserve">   →   </w:t>
            </w:r>
            <w:r>
              <w:rPr>
                <w:sz w:val="19"/>
              </w:rPr>
              <w:t>complacency</w:t>
            </w:r>
          </w:p>
          <w:p>
            <w:pPr>
              <w:spacing w:before="20" w:after="20"/>
            </w:pPr>
            <w:r>
              <w:rPr>
                <w:b/>
                <w:sz w:val="19"/>
              </w:rPr>
              <w:t>Spread &gt; 0   ∧   |z| ≤ 1</w:t>
            </w:r>
            <w:r>
              <w:rPr>
                <w:sz w:val="19"/>
              </w:rPr>
              <w:t xml:space="preserve">   →   </w:t>
            </w:r>
            <w:r>
              <w:rPr>
                <w:sz w:val="19"/>
              </w:rPr>
              <w:t>normal</w:t>
            </w:r>
          </w:p>
        </w:tc>
      </w:tr>
      <w:tr>
        <w:tc>
          <w:tcPr>
            <w:tcW w:type="dxa" w:w="4536"/>
            <w:shd w:val="clear" w:color="auto" w:fill="F2F2F2"/>
          </w:tcPr>
          <w:p>
            <w:pPr>
              <w:spacing w:before="40" w:after="40"/>
            </w:pPr>
            <w:r>
              <w:rPr>
                <w:b/>
                <w:sz w:val="19"/>
              </w:rPr>
              <w:t>Interpretation</w:t>
            </w:r>
          </w:p>
        </w:tc>
        <w:tc>
          <w:tcPr>
            <w:tcW w:type="dxa" w:w="4536"/>
          </w:tcPr>
          <w:p>
            <w:pPr>
              <w:spacing w:before="40" w:after="40"/>
            </w:pPr>
            <w:r>
              <w:rPr>
                <w:i w:val="0"/>
                <w:sz w:val="19"/>
              </w:rPr>
              <w:t>Implied volatility term structures are normally in contango — three-month vol exceeds one-month vol because uncertainty grows with horizon. Inversion is a hallmark of acute stress; investors are paying premium prices for immediate hedges. Inversion has preceded most major market dislocations of the last two decades.</w:t>
            </w:r>
          </w:p>
        </w:tc>
      </w:tr>
      <w:tr>
        <w:tc>
          <w:tcPr>
            <w:tcW w:type="dxa" w:w="4536"/>
            <w:shd w:val="clear" w:color="auto" w:fill="F2F2F2"/>
          </w:tcPr>
          <w:p>
            <w:pPr>
              <w:spacing w:before="40" w:after="40"/>
            </w:pPr>
            <w:r>
              <w:rPr>
                <w:b/>
                <w:sz w:val="19"/>
              </w:rPr>
              <w:t>References</w:t>
            </w:r>
          </w:p>
        </w:tc>
        <w:tc>
          <w:tcPr>
            <w:tcW w:type="dxa" w:w="4536"/>
          </w:tcPr>
          <w:p>
            <w:pPr>
              <w:spacing w:before="40" w:after="40"/>
            </w:pPr>
            <w:r>
              <w:rPr>
                <w:i/>
                <w:sz w:val="18"/>
              </w:rPr>
              <w:t>Whaley (2009, JFM) on VIX term structure as a real-time fear gauge; Carr &amp; Wu (2006) on the variance risk premium in inversions.</w:t>
            </w:r>
          </w:p>
        </w:tc>
      </w:tr>
    </w:tbl>
    <w:p/>
    <w:tbl>
      <w:tblPr>
        <w:tblStyle w:val="TableGrid"/>
        <w:tblW w:type="auto" w:w="0"/>
        <w:tblLayout w:type="fixed"/>
        <w:tblLook w:firstColumn="1" w:firstRow="1" w:lastColumn="0" w:lastRow="0" w:noHBand="0" w:noVBand="1" w:val="04A0"/>
      </w:tblPr>
      <w:tblGrid>
        <w:gridCol w:w="1584"/>
        <w:gridCol w:w="7776"/>
      </w:tblGrid>
      <w:tr>
        <w:tc>
          <w:tcPr>
            <w:tcW w:type="dxa" w:w="9072"/>
            <w:gridSpan w:val="2"/>
            <w:shd w:val="clear" w:color="auto" w:fill="D9E2F3"/>
          </w:tcPr>
          <w:p>
            <w:pPr>
              <w:spacing w:before="40" w:after="40"/>
            </w:pPr>
            <w:r>
              <w:rPr>
                <w:b/>
                <w:sz w:val="22"/>
              </w:rPr>
              <w:t>FX_CMD1  —  Copper / Gold (Global Growth Barometer)</w:t>
            </w:r>
          </w:p>
        </w:tc>
      </w:tr>
      <w:tr>
        <w:tc>
          <w:tcPr>
            <w:tcW w:type="dxa" w:w="4536"/>
            <w:shd w:val="clear" w:color="auto" w:fill="F2F2F2"/>
          </w:tcPr>
          <w:p>
            <w:pPr>
              <w:spacing w:before="40" w:after="40"/>
            </w:pPr>
            <w:r>
              <w:rPr>
                <w:b/>
                <w:sz w:val="19"/>
              </w:rPr>
              <w:t>Formula</w:t>
            </w:r>
          </w:p>
        </w:tc>
        <w:tc>
          <w:tcPr>
            <w:tcW w:type="dxa" w:w="4536"/>
          </w:tcPr>
          <w:p>
            <w:pPr>
              <w:spacing w:before="40" w:after="40"/>
              <w:jc w:val="center"/>
            </w:pPr>
            <m:oMathPara>
              <m:oMath>
                <m:r>
                  <m:t>I</m:t>
                </m:r>
                <m:r>
                  <m:t>=</m:t>
                </m:r>
                <m:func>
                  <m:fName>
                    <m:r>
                      <m:rPr>
                        <m:sty m:val="p"/>
                      </m:rPr>
                      <m:t>log</m:t>
                    </m:r>
                  </m:fName>
                  <m:e>
                    <m:f>
                      <m:num>
                        <m:r>
                          <m:rPr>
                            <m:sty m:val="p"/>
                          </m:rPr>
                          <m:t>copper</m:t>
                        </m:r>
                      </m:num>
                      <m:den>
                        <m:r>
                          <m:rPr>
                            <m:sty m:val="p"/>
                          </m:rPr>
                          <m:t>gold</m:t>
                        </m:r>
                      </m:den>
                    </m:f>
                  </m:e>
                </m:func>
              </m:oMath>
            </m:oMathPara>
          </w:p>
        </w:tc>
      </w:tr>
      <w:tr>
        <w:tc>
          <w:tcPr>
            <w:tcW w:type="dxa" w:w="4536"/>
            <w:shd w:val="clear" w:color="auto" w:fill="F2F2F2"/>
          </w:tcPr>
          <w:p>
            <w:pPr>
              <w:spacing w:before="40" w:after="40"/>
            </w:pPr>
            <w:r>
              <w:rPr>
                <w:b/>
                <w:sz w:val="19"/>
              </w:rPr>
              <w:t>Data</w:t>
            </w:r>
          </w:p>
        </w:tc>
        <w:tc>
          <w:tcPr>
            <w:tcW w:type="dxa" w:w="4536"/>
          </w:tcPr>
          <w:p>
            <w:pPr>
              <w:spacing w:before="40" w:after="40"/>
            </w:pPr>
            <w:r>
              <w:rPr>
                <w:i w:val="0"/>
                <w:sz w:val="19"/>
              </w:rPr>
              <w:t>Copper futures (HG=F) and gold futures (GC=F), yfinance.</w:t>
            </w:r>
          </w:p>
        </w:tc>
      </w:tr>
      <w:tr>
        <w:tc>
          <w:tcPr>
            <w:tcW w:type="dxa" w:w="4536"/>
            <w:shd w:val="clear" w:color="auto" w:fill="F2F2F2"/>
          </w:tcPr>
          <w:p>
            <w:pPr>
              <w:spacing w:before="40" w:after="40"/>
            </w:pPr>
            <w:r>
              <w:rPr>
                <w:b/>
                <w:sz w:val="19"/>
              </w:rPr>
              <w:t>Lookback</w:t>
            </w:r>
          </w:p>
        </w:tc>
        <w:tc>
          <w:tcPr>
            <w:tcW w:type="dxa" w:w="4536"/>
          </w:tcPr>
          <w:p>
            <w:pPr>
              <w:spacing w:before="40" w:after="40"/>
            </w:pPr>
            <w:r>
              <w:rPr>
                <w:i w:val="0"/>
                <w:sz w:val="19"/>
              </w:rPr>
              <w:t>156-week rolling z-score of the log-ratio.</w:t>
            </w:r>
          </w:p>
        </w:tc>
      </w:tr>
      <w:tr>
        <w:tc>
          <w:tcPr>
            <w:tcW w:type="dxa" w:w="4536"/>
            <w:shd w:val="clear" w:color="auto" w:fill="F2F2F2"/>
          </w:tcPr>
          <w:p>
            <w:pPr>
              <w:spacing w:before="40" w:after="40"/>
            </w:pPr>
            <w:r>
              <w:rPr>
                <w:b/>
                <w:sz w:val="19"/>
              </w:rPr>
              <w:t>Regime</w:t>
            </w:r>
          </w:p>
        </w:tc>
        <w:tc>
          <w:tcPr>
            <w:tcW w:type="dxa" w:w="4536"/>
          </w:tcPr>
          <w:p>
            <w:pPr>
              <w:spacing w:before="20" w:after="20"/>
            </w:pPr>
            <w:r>
              <w:rPr>
                <w:b/>
                <w:sz w:val="19"/>
              </w:rPr>
              <w:t>z &gt; +1</w:t>
            </w:r>
            <w:r>
              <w:rPr>
                <w:sz w:val="19"/>
              </w:rPr>
              <w:t xml:space="preserve">   →   </w:t>
            </w:r>
            <w:r>
              <w:rPr>
                <w:sz w:val="19"/>
              </w:rPr>
              <w:t>pro-growth — OW cyclicals, EM commodities</w:t>
            </w:r>
          </w:p>
          <w:p>
            <w:pPr>
              <w:spacing w:before="20" w:after="20"/>
            </w:pPr>
            <w:r>
              <w:rPr>
                <w:b/>
                <w:sz w:val="19"/>
              </w:rPr>
              <w:t>|z| ≤ 1</w:t>
            </w:r>
            <w:r>
              <w:rPr>
                <w:sz w:val="19"/>
              </w:rPr>
              <w:t xml:space="preserve">   →   </w:t>
            </w:r>
            <w:r>
              <w:rPr>
                <w:sz w:val="19"/>
              </w:rPr>
              <w:t>neutral</w:t>
            </w:r>
          </w:p>
          <w:p>
            <w:pPr>
              <w:spacing w:before="20" w:after="20"/>
            </w:pPr>
            <w:r>
              <w:rPr>
                <w:b/>
                <w:sz w:val="19"/>
              </w:rPr>
              <w:t>z &lt; −1</w:t>
            </w:r>
            <w:r>
              <w:rPr>
                <w:sz w:val="19"/>
              </w:rPr>
              <w:t xml:space="preserve">   →   </w:t>
            </w:r>
            <w:r>
              <w:rPr>
                <w:sz w:val="19"/>
              </w:rPr>
              <w:t>growth-scare — OW gold, defensive duration</w:t>
            </w:r>
          </w:p>
        </w:tc>
      </w:tr>
      <w:tr>
        <w:tc>
          <w:tcPr>
            <w:tcW w:type="dxa" w:w="4536"/>
            <w:shd w:val="clear" w:color="auto" w:fill="F2F2F2"/>
          </w:tcPr>
          <w:p>
            <w:pPr>
              <w:spacing w:before="40" w:after="40"/>
            </w:pPr>
            <w:r>
              <w:rPr>
                <w:b/>
                <w:sz w:val="19"/>
              </w:rPr>
              <w:t>Interpretation</w:t>
            </w:r>
          </w:p>
        </w:tc>
        <w:tc>
          <w:tcPr>
            <w:tcW w:type="dxa" w:w="4536"/>
          </w:tcPr>
          <w:p>
            <w:pPr>
              <w:spacing w:before="40" w:after="40"/>
            </w:pPr>
            <w:r>
              <w:rPr>
                <w:i w:val="0"/>
                <w:sz w:val="19"/>
              </w:rPr>
              <w:t>Copper is the industrial bellwether (about 60% of demand from construction, electrical, machinery); gold is the safe-haven. The ratio answers a single question: is the marginal capital seeking productive investment or protecting itself? The ratio leads the 10-year Treasury yield by six to twelve months.</w:t>
            </w:r>
          </w:p>
        </w:tc>
      </w:tr>
      <w:tr>
        <w:tc>
          <w:tcPr>
            <w:tcW w:type="dxa" w:w="4536"/>
            <w:shd w:val="clear" w:color="auto" w:fill="F2F2F2"/>
          </w:tcPr>
          <w:p>
            <w:pPr>
              <w:spacing w:before="40" w:after="40"/>
            </w:pPr>
            <w:r>
              <w:rPr>
                <w:b/>
                <w:sz w:val="19"/>
              </w:rPr>
              <w:t>References</w:t>
            </w:r>
          </w:p>
        </w:tc>
        <w:tc>
          <w:tcPr>
            <w:tcW w:type="dxa" w:w="4536"/>
          </w:tcPr>
          <w:p>
            <w:pPr>
              <w:spacing w:before="40" w:after="40"/>
            </w:pPr>
            <w:r>
              <w:rPr>
                <w:i/>
                <w:sz w:val="18"/>
              </w:rPr>
              <w:t>Erb &amp; Harvey (2006, FAJ) on copper-PMI linkage; Gundlach (DoubleLine commentary) popularising the ratio as a 10-year-yield leading indicator.</w:t>
            </w:r>
          </w:p>
        </w:tc>
      </w:tr>
    </w:tbl>
    <w:p/>
    <w:tbl>
      <w:tblPr>
        <w:tblStyle w:val="TableGrid"/>
        <w:tblW w:type="auto" w:w="0"/>
        <w:tblLayout w:type="fixed"/>
        <w:tblLook w:firstColumn="1" w:firstRow="1" w:lastColumn="0" w:lastRow="0" w:noHBand="0" w:noVBand="1" w:val="04A0"/>
      </w:tblPr>
      <w:tblGrid>
        <w:gridCol w:w="1584"/>
        <w:gridCol w:w="7776"/>
      </w:tblGrid>
      <w:tr>
        <w:tc>
          <w:tcPr>
            <w:tcW w:type="dxa" w:w="9072"/>
            <w:gridSpan w:val="2"/>
            <w:shd w:val="clear" w:color="auto" w:fill="D9E2F3"/>
          </w:tcPr>
          <w:p>
            <w:pPr>
              <w:spacing w:before="40" w:after="40"/>
            </w:pPr>
            <w:r>
              <w:rPr>
                <w:b/>
                <w:sz w:val="22"/>
              </w:rPr>
              <w:t>GL_PMI1  —  Equal-weight Global Manufacturing Survey Composite</w:t>
            </w:r>
          </w:p>
        </w:tc>
      </w:tr>
      <w:tr>
        <w:tc>
          <w:tcPr>
            <w:tcW w:type="dxa" w:w="4536"/>
            <w:shd w:val="clear" w:color="auto" w:fill="F2F2F2"/>
          </w:tcPr>
          <w:p>
            <w:pPr>
              <w:spacing w:before="40" w:after="40"/>
            </w:pPr>
            <w:r>
              <w:rPr>
                <w:b/>
                <w:sz w:val="19"/>
              </w:rPr>
              <w:t>Formula</w:t>
            </w:r>
          </w:p>
        </w:tc>
        <w:tc>
          <w:tcPr>
            <w:tcW w:type="dxa" w:w="4536"/>
          </w:tcPr>
          <w:p>
            <w:pPr>
              <w:spacing w:before="40" w:after="40"/>
              <w:jc w:val="center"/>
            </w:pPr>
            <m:oMathPara>
              <m:oMath>
                <m:r>
                  <m:t>I</m:t>
                </m:r>
                <m:r>
                  <m:t>=</m:t>
                </m:r>
                <m:f>
                  <m:num>
                    <m:r>
                      <m:rPr>
                        <m:sty m:val="p"/>
                      </m:rPr>
                      <m:t>1</m:t>
                    </m:r>
                  </m:num>
                  <m:den>
                    <m:r>
                      <m:t>n</m:t>
                    </m:r>
                  </m:den>
                </m:f>
                <m:nary>
                  <m:naryPr>
                    <m:chr m:val="∑"/>
                    <m:limLoc m:val="undOvr"/>
                  </m:naryPr>
                  <m:sub>
                    <m:r>
                      <m:rPr>
                        <m:sty m:val="p"/>
                      </m:rPr>
                      <m:t>i=1</m:t>
                    </m:r>
                  </m:sub>
                  <m:sup>
                    <m:r>
                      <m:t>n</m:t>
                    </m:r>
                  </m:sup>
                  <m:e>
                    <m:sSub>
                      <m:e>
                        <m:r>
                          <m:t>z</m:t>
                        </m:r>
                      </m:e>
                      <m:sub>
                        <m:r>
                          <m:t>i</m:t>
                        </m:r>
                      </m:sub>
                    </m:sSub>
                  </m:e>
                </m:nary>
              </m:oMath>
            </m:oMathPara>
          </w:p>
        </w:tc>
      </w:tr>
      <w:tr>
        <w:tc>
          <w:tcPr>
            <w:tcW w:type="dxa" w:w="4536"/>
            <w:shd w:val="clear" w:color="auto" w:fill="F2F2F2"/>
          </w:tcPr>
          <w:p>
            <w:pPr>
              <w:spacing w:before="40" w:after="40"/>
            </w:pPr>
            <w:r>
              <w:rPr>
                <w:b/>
                <w:sz w:val="19"/>
              </w:rPr>
              <w:t>Data</w:t>
            </w:r>
          </w:p>
        </w:tc>
        <w:tc>
          <w:tcPr>
            <w:tcW w:type="dxa" w:w="4536"/>
          </w:tcPr>
          <w:p>
            <w:pPr>
              <w:spacing w:before="40" w:after="40"/>
            </w:pPr>
            <w:r>
              <w:rPr>
                <w:i w:val="0"/>
                <w:sz w:val="19"/>
              </w:rPr>
              <w:t>ISM Manufacturing PMI (DB.nomics), Eurostat Industrial Confidence (DB.nomics), UK Business Confidence (FRED OECD mirror), German ifo Industry composite (ifo direct), and Japan Tankan Large Manufacturer DI (BoJ Time-Series).</w:t>
            </w:r>
          </w:p>
        </w:tc>
      </w:tr>
      <w:tr>
        <w:tc>
          <w:tcPr>
            <w:tcW w:type="dxa" w:w="4536"/>
            <w:shd w:val="clear" w:color="auto" w:fill="F2F2F2"/>
          </w:tcPr>
          <w:p>
            <w:pPr>
              <w:spacing w:before="40" w:after="40"/>
            </w:pPr>
            <w:r>
              <w:rPr>
                <w:b/>
                <w:sz w:val="19"/>
              </w:rPr>
              <w:t>Lookback</w:t>
            </w:r>
          </w:p>
        </w:tc>
        <w:tc>
          <w:tcPr>
            <w:tcW w:type="dxa" w:w="4536"/>
          </w:tcPr>
          <w:p>
            <w:pPr>
              <w:spacing w:before="40" w:after="40"/>
            </w:pPr>
            <w:r>
              <w:rPr>
                <w:i w:val="0"/>
                <w:sz w:val="19"/>
              </w:rPr>
              <w:t>Each component independently z-scored against its own 156-week window; the composite is the equal-weight average of available z-scores.</w:t>
            </w:r>
          </w:p>
        </w:tc>
      </w:tr>
      <w:tr>
        <w:tc>
          <w:tcPr>
            <w:tcW w:type="dxa" w:w="4536"/>
            <w:shd w:val="clear" w:color="auto" w:fill="F2F2F2"/>
          </w:tcPr>
          <w:p>
            <w:pPr>
              <w:spacing w:before="40" w:after="40"/>
            </w:pPr>
            <w:r>
              <w:rPr>
                <w:b/>
                <w:sz w:val="19"/>
              </w:rPr>
              <w:t>Regime</w:t>
            </w:r>
          </w:p>
        </w:tc>
        <w:tc>
          <w:tcPr>
            <w:tcW w:type="dxa" w:w="4536"/>
          </w:tcPr>
          <w:p>
            <w:pPr>
              <w:spacing w:before="20" w:after="20"/>
            </w:pPr>
            <w:r>
              <w:rPr>
                <w:b/>
                <w:sz w:val="19"/>
              </w:rPr>
              <w:t>z &gt; +1</w:t>
            </w:r>
            <w:r>
              <w:rPr>
                <w:sz w:val="19"/>
              </w:rPr>
              <w:t xml:space="preserve">   →   </w:t>
            </w:r>
            <w:r>
              <w:rPr>
                <w:sz w:val="19"/>
              </w:rPr>
              <w:t>global-expansion — broad survey-led growth</w:t>
            </w:r>
          </w:p>
          <w:p>
            <w:pPr>
              <w:spacing w:before="20" w:after="20"/>
            </w:pPr>
            <w:r>
              <w:rPr>
                <w:b/>
                <w:sz w:val="19"/>
              </w:rPr>
              <w:t>|z| ≤ 1</w:t>
            </w:r>
            <w:r>
              <w:rPr>
                <w:sz w:val="19"/>
              </w:rPr>
              <w:t xml:space="preserve">   →   </w:t>
            </w:r>
            <w:r>
              <w:rPr>
                <w:sz w:val="19"/>
              </w:rPr>
              <w:t>neutral</w:t>
            </w:r>
          </w:p>
          <w:p>
            <w:pPr>
              <w:spacing w:before="20" w:after="20"/>
            </w:pPr>
            <w:r>
              <w:rPr>
                <w:b/>
                <w:sz w:val="19"/>
              </w:rPr>
              <w:t>z &lt; −1</w:t>
            </w:r>
            <w:r>
              <w:rPr>
                <w:sz w:val="19"/>
              </w:rPr>
              <w:t xml:space="preserve">   →   </w:t>
            </w:r>
            <w:r>
              <w:rPr>
                <w:sz w:val="19"/>
              </w:rPr>
              <w:t>global-contraction — broad survey-led decline</w:t>
            </w:r>
          </w:p>
        </w:tc>
      </w:tr>
      <w:tr>
        <w:tc>
          <w:tcPr>
            <w:tcW w:type="dxa" w:w="4536"/>
            <w:shd w:val="clear" w:color="auto" w:fill="F2F2F2"/>
          </w:tcPr>
          <w:p>
            <w:pPr>
              <w:spacing w:before="40" w:after="40"/>
            </w:pPr>
            <w:r>
              <w:rPr>
                <w:b/>
                <w:sz w:val="19"/>
              </w:rPr>
              <w:t>Interpretation</w:t>
            </w:r>
          </w:p>
        </w:tc>
        <w:tc>
          <w:tcPr>
            <w:tcW w:type="dxa" w:w="4536"/>
          </w:tcPr>
          <w:p>
            <w:pPr>
              <w:spacing w:before="40" w:after="40"/>
            </w:pPr>
            <w:r>
              <w:rPr>
                <w:i w:val="0"/>
                <w:sz w:val="19"/>
              </w:rPr>
              <w:t>A free-data substitute for the proprietary JP Morgan Global Manufacturing PMI. The composite degrades gracefully when individual components are missing — only the available z-scores are averaged — so the indicator continues to compute through publisher-side outages of any single component.</w:t>
            </w:r>
          </w:p>
        </w:tc>
      </w:tr>
      <w:tr>
        <w:tc>
          <w:tcPr>
            <w:tcW w:type="dxa" w:w="4536"/>
            <w:shd w:val="clear" w:color="auto" w:fill="F2F2F2"/>
          </w:tcPr>
          <w:p>
            <w:pPr>
              <w:spacing w:before="40" w:after="40"/>
            </w:pPr>
            <w:r>
              <w:rPr>
                <w:b/>
                <w:sz w:val="19"/>
              </w:rPr>
              <w:t>References</w:t>
            </w:r>
          </w:p>
        </w:tc>
        <w:tc>
          <w:tcPr>
            <w:tcW w:type="dxa" w:w="4536"/>
          </w:tcPr>
          <w:p>
            <w:pPr>
              <w:spacing w:before="40" w:after="40"/>
            </w:pPr>
            <w:r>
              <w:rPr>
                <w:i/>
                <w:sz w:val="18"/>
              </w:rPr>
              <w:t>Marquette (1992) on ISM new orders leading industrial production; methodological convention follows the OECD Composite Leading Indicator framework of equal-weight z-score aggregation.</w:t>
            </w:r>
          </w:p>
        </w:tc>
      </w:tr>
    </w:tbl>
    <w:p/>
    <w:p>
      <w:r>
        <w:br w:type="page"/>
      </w:r>
    </w:p>
    <w:p>
      <w:pPr>
        <w:pStyle w:val="Heading1"/>
        <w:spacing w:before="0" w:after="160"/>
      </w:pPr>
      <w:r>
        <w:t>7.  Regime, Forward-Regime &amp; Z-Score Trajectory Classification</w:t>
      </w:r>
    </w:p>
    <w:p>
      <w:pPr>
        <w:spacing w:after="120"/>
      </w:pPr>
      <w:r>
        <w:rPr>
          <w:b w:val="0"/>
          <w:i w:val="0"/>
          <w:sz w:val="21"/>
        </w:rPr>
        <w:t>Each indicator emits four classification labels alongside its raw and z-scored values: a current regime, a forward regime, a z-score trajectory diagnostic, and a cycle-timing tag. Together these labels carry the analytical interpretation of the indicator at every time step. This section documents how each label is computed.</w:t>
      </w:r>
    </w:p>
    <w:p>
      <w:pPr>
        <w:pStyle w:val="Heading2"/>
        <w:spacing w:before="200" w:after="40"/>
      </w:pPr>
      <w:r>
        <w:t>7.1  Regime classification</w:t>
      </w:r>
    </w:p>
    <w:p>
      <w:pPr>
        <w:spacing w:after="120"/>
      </w:pPr>
      <w:r>
        <w:rPr>
          <w:b w:val="0"/>
          <w:i w:val="0"/>
          <w:sz w:val="21"/>
        </w:rPr>
        <w:t>The default regime classifier is a three-bucket helper applied to the z-score:</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r>
                  <m:rPr>
                    <m:sty m:val="p"/>
                  </m:rPr>
                  <m:t>regime</m:t>
                </m:r>
                <m:d>
                  <m:dPr>
                    <m:begChr m:val="("/>
                    <m:endChr m:val=")"/>
                  </m:dPr>
                  <m:e>
                    <m:r>
                      <m:t>z</m:t>
                    </m:r>
                  </m:e>
                </m:d>
                <m:r>
                  <m:t>=</m:t>
                </m:r>
                <m:d>
                  <m:dPr>
                    <m:begChr m:val="{"/>
                    <m:endChr m:val=""/>
                  </m:dPr>
                  <m:e>
                    <m:eqArr>
                      <m:eqArrPr>
                        <m:baseJc m:val="center"/>
                      </m:eqArrPr>
                      <m:e>
                        <m:r>
                          <m:rPr>
                            <m:sty m:val="p"/>
                          </m:rPr>
                          <m:t>L₊</m:t>
                        </m:r>
                        <m:r>
                          <m:rPr>
                            <m:sty m:val="p"/>
                          </m:rPr>
                          <m:t>,   if z &gt; +1</m:t>
                        </m:r>
                      </m:e>
                      <m:e>
                        <m:r>
                          <m:rPr>
                            <m:sty m:val="p"/>
                          </m:rPr>
                          <m:t>L₀</m:t>
                        </m:r>
                        <m:r>
                          <m:rPr>
                            <m:sty m:val="p"/>
                          </m:rPr>
                          <m:t>,   if |z| ≤ 1</m:t>
                        </m:r>
                      </m:e>
                      <m:e>
                        <m:r>
                          <m:rPr>
                            <m:sty m:val="p"/>
                          </m:rPr>
                          <m:t>L₋</m:t>
                        </m:r>
                        <m:r>
                          <m:rPr>
                            <m:sty m:val="p"/>
                          </m:rPr>
                          <m:t>,   if z &lt; −1</m:t>
                        </m:r>
                      </m:e>
                    </m:eqArr>
                  </m:e>
                </m:d>
              </m:oMath>
            </m:oMathPara>
          </w:p>
        </w:tc>
        <w:tc>
          <w:tcPr>
            <w:tcW w:type="dxa" w:w="4536"/>
            <w:tcBorders>
              <w:top w:val="nil"/>
              <w:left w:val="nil"/>
              <w:bottom w:val="nil"/>
              <w:right w:val="nil"/>
            </w:tcBorders>
          </w:tcPr>
          <w:p>
            <w:pPr>
              <w:jc w:val="right"/>
            </w:pPr>
            <w:r>
              <w:rPr>
                <w:sz w:val="20"/>
              </w:rPr>
              <w:t>(7.1)</w:t>
            </w:r>
          </w:p>
        </w:tc>
      </w:tr>
    </w:tbl>
    <w:p/>
    <w:p>
      <w:pPr>
        <w:spacing w:after="120"/>
      </w:pPr>
      <w:r>
        <w:rPr>
          <w:b w:val="0"/>
          <w:i w:val="0"/>
          <w:sz w:val="21"/>
        </w:rPr>
        <w:t>Each indicator supplies its own labels for L₊, L₀, and L₋. For US_G1 these are pro-growth / neutral / defensive; for FX_CMD1 they are pro-growth / neutral / growth-scare; for US_M2 they are abundant-liquidity / neutral / tight-liquidity. The labels are not comparable across indicators — they are interpretation aids rather than universal categories — but the underlying ±1 z-threshold convention is uniform.</w:t>
      </w:r>
    </w:p>
    <w:p>
      <w:pPr>
        <w:pStyle w:val="Heading2"/>
        <w:spacing w:before="200" w:after="40"/>
      </w:pPr>
      <w:r>
        <w:t>7.2  Indicator-specific overrides</w:t>
      </w:r>
    </w:p>
    <w:p>
      <w:pPr>
        <w:spacing w:after="120"/>
      </w:pPr>
      <w:r>
        <w:rPr>
          <w:b w:val="0"/>
          <w:i w:val="0"/>
          <w:sz w:val="21"/>
        </w:rPr>
        <w:t>A minority of indicators apply a level override to the default classifier. The overrides exist for two reasons: structural levels carry signal that a rolling z-score would lose by adapting to regime drift, and certain economic conditions (yield-curve inversion, vol-curve inversion, credit spread above 800 basis points) are absolute states that should not be relativised.</w:t>
      </w:r>
    </w:p>
    <w:p>
      <w:pPr>
        <w:spacing w:after="120"/>
      </w:pPr>
      <w:r>
        <w:rPr>
          <w:b w:val="0"/>
          <w:i w:val="0"/>
          <w:sz w:val="21"/>
        </w:rPr>
        <w:t>Three patterns recur: yield-curve inversion (US_R1, US_R2, US_R3) — any negative spread overrides the z-score to recession-watch; volatility-curve inversion (US_V1) — any negative VIX3M − VIX overrides to stress; and the five-regime credit-spread classifier (US_Cr2) which couples raw basis-point levels with z-score thresholds across five distinct regimes.</w:t>
      </w:r>
    </w:p>
    <w:p>
      <w:pPr>
        <w:pStyle w:val="Heading2"/>
        <w:spacing w:before="200" w:after="40"/>
      </w:pPr>
      <w:r>
        <w:t>7.3  Forward regime</w:t>
      </w:r>
    </w:p>
    <w:p>
      <w:pPr>
        <w:spacing w:after="120"/>
      </w:pPr>
      <w:r>
        <w:rPr>
          <w:b w:val="0"/>
          <w:i w:val="0"/>
          <w:sz w:val="21"/>
        </w:rPr>
        <w:t>The forward regime captures the indicator's recent trajectory rather than its current level. It is computed from the slope of the z-score over the trailing eight weeks:</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r>
                  <m:t>β</m:t>
                </m:r>
                <m:r>
                  <m:t>=</m:t>
                </m:r>
                <m:f>
                  <m:num>
                    <m:sSub>
                      <m:e>
                        <m:r>
                          <m:t>z</m:t>
                        </m:r>
                      </m:e>
                      <m:sub>
                        <m:r>
                          <m:t>t</m:t>
                        </m:r>
                      </m:sub>
                    </m:sSub>
                    <m:r>
                      <m:t>−</m:t>
                    </m:r>
                    <m:sSub>
                      <m:e>
                        <m:r>
                          <m:t>z</m:t>
                        </m:r>
                      </m:e>
                      <m:sub>
                        <m:r>
                          <m:rPr>
                            <m:sty m:val="p"/>
                          </m:rPr>
                          <m:t>t−8</m:t>
                        </m:r>
                      </m:sub>
                    </m:sSub>
                  </m:num>
                  <m:den>
                    <m:r>
                      <m:rPr>
                        <m:sty m:val="p"/>
                      </m:rPr>
                      <m:t>8</m:t>
                    </m:r>
                  </m:den>
                </m:f>
              </m:oMath>
            </m:oMathPara>
          </w:p>
        </w:tc>
        <w:tc>
          <w:tcPr>
            <w:tcW w:type="dxa" w:w="4536"/>
            <w:tcBorders>
              <w:top w:val="nil"/>
              <w:left w:val="nil"/>
              <w:bottom w:val="nil"/>
              <w:right w:val="nil"/>
            </w:tcBorders>
          </w:tcPr>
          <w:p>
            <w:pPr>
              <w:jc w:val="right"/>
            </w:pPr>
            <w:r>
              <w:rPr>
                <w:sz w:val="20"/>
              </w:rPr>
              <w:t>(7.2)</w:t>
            </w:r>
          </w:p>
        </w:tc>
      </w:tr>
    </w:tbl>
    <w:p/>
    <w:p>
      <w:pPr>
        <w:spacing w:after="120"/>
      </w:pPr>
      <w:r>
        <w:rPr>
          <w:b w:val="0"/>
          <w:i w:val="0"/>
          <w:sz w:val="21"/>
        </w:rPr>
        <w:t>and classified using ±0.15 thresholds:</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r>
                  <m:rPr>
                    <m:sty m:val="p"/>
                  </m:rPr>
                  <m:t>fwd_regime</m:t>
                </m:r>
                <m:r>
                  <m:t>=</m:t>
                </m:r>
                <m:d>
                  <m:dPr>
                    <m:begChr m:val="{"/>
                    <m:endChr m:val=""/>
                  </m:dPr>
                  <m:e>
                    <m:eqArr>
                      <m:eqArrPr>
                        <m:baseJc m:val="center"/>
                      </m:eqArrPr>
                      <m:e>
                        <m:r>
                          <m:rPr>
                            <m:sty m:val="p"/>
                          </m:rPr>
                          <m:t>improving</m:t>
                        </m:r>
                        <m:r>
                          <m:rPr>
                            <m:sty m:val="p"/>
                          </m:rPr>
                          <m:t>,       if β &gt; +0.15</m:t>
                        </m:r>
                      </m:e>
                      <m:e>
                        <m:r>
                          <m:rPr>
                            <m:sty m:val="p"/>
                          </m:rPr>
                          <m:t>stable</m:t>
                        </m:r>
                        <m:r>
                          <m:rPr>
                            <m:sty m:val="p"/>
                          </m:rPr>
                          <m:t>,         if |β| ≤ 0.15</m:t>
                        </m:r>
                      </m:e>
                      <m:e>
                        <m:r>
                          <m:rPr>
                            <m:sty m:val="p"/>
                          </m:rPr>
                          <m:t>deteriorating</m:t>
                        </m:r>
                        <m:r>
                          <m:rPr>
                            <m:sty m:val="p"/>
                          </m:rPr>
                          <m:t>,  if β &lt; −0.15</m:t>
                        </m:r>
                      </m:e>
                    </m:eqArr>
                  </m:e>
                </m:d>
              </m:oMath>
            </m:oMathPara>
          </w:p>
        </w:tc>
        <w:tc>
          <w:tcPr>
            <w:tcW w:type="dxa" w:w="4536"/>
            <w:tcBorders>
              <w:top w:val="nil"/>
              <w:left w:val="nil"/>
              <w:bottom w:val="nil"/>
              <w:right w:val="nil"/>
            </w:tcBorders>
          </w:tcPr>
          <w:p>
            <w:pPr>
              <w:jc w:val="right"/>
            </w:pPr>
            <w:r>
              <w:rPr>
                <w:sz w:val="20"/>
              </w:rPr>
              <w:t>(7.3)</w:t>
            </w:r>
          </w:p>
        </w:tc>
      </w:tr>
    </w:tbl>
    <w:p/>
    <w:p>
      <w:pPr>
        <w:spacing w:after="120"/>
      </w:pPr>
      <w:r>
        <w:rPr>
          <w:b w:val="0"/>
          <w:i w:val="0"/>
          <w:sz w:val="21"/>
        </w:rPr>
        <w:t>The eight-week window is short enough to capture genuine trajectory shifts and long enough to dampen weekly noise. The 0.15 threshold corresponds to a z-score change of about 1.2 over the eight weeks — small enough to register typical regime transitions and large enough to filter out random walks. Indicators flagged as naturally leading in the registry receive a [leading] suffix on their forward-regime label, marking that their trajectory is itself a forward-looking signal rather than a coincident one.</w:t>
      </w:r>
    </w:p>
    <w:p>
      <w:pPr>
        <w:pStyle w:val="Heading2"/>
        <w:spacing w:before="200" w:after="40"/>
      </w:pPr>
      <w:r>
        <w:t>7.4  Z-score trajectory diagnostic</w:t>
      </w:r>
    </w:p>
    <w:p>
      <w:pPr>
        <w:spacing w:after="120"/>
      </w:pPr>
      <w:r>
        <w:rPr>
          <w:b w:val="0"/>
          <w:i w:val="0"/>
          <w:sz w:val="21"/>
        </w:rPr>
        <w:t>A separate diagnostic classifies the recent z-score trajectory against three lookbacks (1, 4, and 13 weeks) and the trailing 13-week peak in absolute z-score. Four classes are recognised.</w:t>
      </w:r>
    </w:p>
    <w:p>
      <w:pPr>
        <w:spacing w:after="40"/>
      </w:pPr>
      <w:r>
        <w:rPr>
          <w:b w:val="0"/>
          <w:i w:val="0"/>
          <w:sz w:val="21"/>
        </w:rPr>
        <w:t>Intensifying — z is rising in magnitude vs both 1- and 4-week lags, and is near the 13-week peak in absolute value:</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r>
                  <m:rPr>
                    <m:sty m:val="p"/>
                  </m:rPr>
                  <m:t>intensifying:    </m:t>
                </m:r>
                <m:d>
                  <m:dPr>
                    <m:begChr m:val="|"/>
                    <m:endChr m:val="|"/>
                  </m:dPr>
                  <m:e>
                    <m:sSub>
                      <m:e>
                        <m:r>
                          <m:t>z</m:t>
                        </m:r>
                      </m:e>
                      <m:sub>
                        <m:r>
                          <m:rPr>
                            <m:sty m:val="p"/>
                          </m:rPr>
                          <m:t>t</m:t>
                        </m:r>
                      </m:sub>
                    </m:sSub>
                  </m:e>
                </m:d>
                <m:r>
                  <m:t>&gt;</m:t>
                </m:r>
                <m:d>
                  <m:dPr>
                    <m:begChr m:val="|"/>
                    <m:endChr m:val="|"/>
                  </m:dPr>
                  <m:e>
                    <m:sSub>
                      <m:e>
                        <m:r>
                          <m:t>z</m:t>
                        </m:r>
                      </m:e>
                      <m:sub>
                        <m:r>
                          <m:rPr>
                            <m:sty m:val="p"/>
                          </m:rPr>
                          <m:t>t−1</m:t>
                        </m:r>
                      </m:sub>
                    </m:sSub>
                  </m:e>
                </m:d>
                <m:r>
                  <m:rPr>
                    <m:sty m:val="p"/>
                  </m:rPr>
                  <m:t>    ∧    </m:t>
                </m:r>
                <m:d>
                  <m:dPr>
                    <m:begChr m:val="|"/>
                    <m:endChr m:val="|"/>
                  </m:dPr>
                  <m:e>
                    <m:sSub>
                      <m:e>
                        <m:r>
                          <m:t>z</m:t>
                        </m:r>
                      </m:e>
                      <m:sub>
                        <m:r>
                          <m:rPr>
                            <m:sty m:val="p"/>
                          </m:rPr>
                          <m:t>t</m:t>
                        </m:r>
                      </m:sub>
                    </m:sSub>
                  </m:e>
                </m:d>
                <m:r>
                  <m:t>&gt;</m:t>
                </m:r>
                <m:d>
                  <m:dPr>
                    <m:begChr m:val="|"/>
                    <m:endChr m:val="|"/>
                  </m:dPr>
                  <m:e>
                    <m:sSub>
                      <m:e>
                        <m:r>
                          <m:t>z</m:t>
                        </m:r>
                      </m:e>
                      <m:sub>
                        <m:r>
                          <m:rPr>
                            <m:sty m:val="p"/>
                          </m:rPr>
                          <m:t>t−4</m:t>
                        </m:r>
                      </m:sub>
                    </m:sSub>
                  </m:e>
                </m:d>
                <m:r>
                  <m:rPr>
                    <m:sty m:val="p"/>
                  </m:rPr>
                  <m:t>    ∧    </m:t>
                </m:r>
                <m:d>
                  <m:dPr>
                    <m:begChr m:val="|"/>
                    <m:endChr m:val="|"/>
                  </m:dPr>
                  <m:e>
                    <m:sSub>
                      <m:e>
                        <m:r>
                          <m:t>z</m:t>
                        </m:r>
                      </m:e>
                      <m:sub>
                        <m:r>
                          <m:rPr>
                            <m:sty m:val="p"/>
                          </m:rPr>
                          <m:t>t</m:t>
                        </m:r>
                      </m:sub>
                    </m:sSub>
                  </m:e>
                </m:d>
                <m:r>
                  <m:t>≥</m:t>
                </m:r>
                <m:r>
                  <m:rPr>
                    <m:sty m:val="p"/>
                  </m:rPr>
                  <m:t>0.9 ·</m:t>
                </m:r>
                <m:r>
                  <m:rPr>
                    <m:sty m:val="p"/>
                  </m:rPr>
                  <m:t>max</m:t>
                </m:r>
                <m:sSub>
                  <m:e>
                    <m:r>
                      <m:rPr>
                        <m:sty m:val="p"/>
                      </m:rPr>
                      <m:t/>
                    </m:r>
                  </m:e>
                  <m:sub>
                    <m:r>
                      <m:rPr>
                        <m:sty m:val="p"/>
                      </m:rPr>
                      <m:t>[t−13, t]</m:t>
                    </m:r>
                  </m:sub>
                </m:sSub>
                <m:d>
                  <m:dPr>
                    <m:begChr m:val="|"/>
                    <m:endChr m:val="|"/>
                  </m:dPr>
                  <m:e>
                    <m:r>
                      <m:t>z</m:t>
                    </m:r>
                  </m:e>
                </m:d>
              </m:oMath>
            </m:oMathPara>
          </w:p>
        </w:tc>
        <w:tc>
          <w:tcPr>
            <w:tcW w:type="dxa" w:w="4536"/>
            <w:tcBorders>
              <w:top w:val="nil"/>
              <w:left w:val="nil"/>
              <w:bottom w:val="nil"/>
              <w:right w:val="nil"/>
            </w:tcBorders>
          </w:tcPr>
          <w:p>
            <w:pPr>
              <w:jc w:val="right"/>
            </w:pPr>
            <w:r>
              <w:rPr>
                <w:sz w:val="20"/>
              </w:rPr>
              <w:t>(7.4)</w:t>
            </w:r>
          </w:p>
        </w:tc>
      </w:tr>
    </w:tbl>
    <w:p/>
    <w:p>
      <w:pPr>
        <w:spacing w:after="40"/>
      </w:pPr>
      <w:r>
        <w:rPr>
          <w:b w:val="0"/>
          <w:i w:val="0"/>
          <w:sz w:val="21"/>
        </w:rPr>
        <w:t>Fading — current absolute z is meaningfully below its 4-week lag:</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r>
                  <m:rPr>
                    <m:sty m:val="p"/>
                  </m:rPr>
                  <m:t>fading:    </m:t>
                </m:r>
                <m:d>
                  <m:dPr>
                    <m:begChr m:val="|"/>
                    <m:endChr m:val="|"/>
                  </m:dPr>
                  <m:e>
                    <m:sSub>
                      <m:e>
                        <m:r>
                          <m:t>z</m:t>
                        </m:r>
                      </m:e>
                      <m:sub>
                        <m:r>
                          <m:rPr>
                            <m:sty m:val="p"/>
                          </m:rPr>
                          <m:t>t</m:t>
                        </m:r>
                      </m:sub>
                    </m:sSub>
                  </m:e>
                </m:d>
                <m:r>
                  <m:t>&lt;</m:t>
                </m:r>
                <m:r>
                  <m:rPr>
                    <m:sty m:val="p"/>
                  </m:rPr>
                  <m:t>0.9 ·</m:t>
                </m:r>
                <m:d>
                  <m:dPr>
                    <m:begChr m:val="|"/>
                    <m:endChr m:val="|"/>
                  </m:dPr>
                  <m:e>
                    <m:sSub>
                      <m:e>
                        <m:r>
                          <m:t>z</m:t>
                        </m:r>
                      </m:e>
                      <m:sub>
                        <m:r>
                          <m:rPr>
                            <m:sty m:val="p"/>
                          </m:rPr>
                          <m:t>t−4</m:t>
                        </m:r>
                      </m:sub>
                    </m:sSub>
                  </m:e>
                </m:d>
              </m:oMath>
            </m:oMathPara>
          </w:p>
        </w:tc>
        <w:tc>
          <w:tcPr>
            <w:tcW w:type="dxa" w:w="4536"/>
            <w:tcBorders>
              <w:top w:val="nil"/>
              <w:left w:val="nil"/>
              <w:bottom w:val="nil"/>
              <w:right w:val="nil"/>
            </w:tcBorders>
          </w:tcPr>
          <w:p>
            <w:pPr>
              <w:jc w:val="right"/>
            </w:pPr>
            <w:r>
              <w:rPr>
                <w:sz w:val="20"/>
              </w:rPr>
              <w:t>(7.5)</w:t>
            </w:r>
          </w:p>
        </w:tc>
      </w:tr>
    </w:tbl>
    <w:p/>
    <w:p>
      <w:pPr>
        <w:spacing w:after="40"/>
      </w:pPr>
      <w:r>
        <w:rPr>
          <w:b w:val="0"/>
          <w:i w:val="0"/>
          <w:sz w:val="21"/>
        </w:rPr>
        <w:t>Reversing — z has changed sign vs the 4-week lag, from a previous reading already meaningful in magnitude:</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r>
                  <m:rPr>
                    <m:sty m:val="p"/>
                  </m:rPr>
                  <m:t>reversing:    </m:t>
                </m:r>
                <m:r>
                  <m:rPr>
                    <m:sty m:val="p"/>
                  </m:rPr>
                  <m:t>sgn</m:t>
                </m:r>
                <m:d>
                  <m:dPr>
                    <m:begChr m:val="("/>
                    <m:endChr m:val=")"/>
                  </m:dPr>
                  <m:e>
                    <m:sSub>
                      <m:e>
                        <m:r>
                          <m:t>z</m:t>
                        </m:r>
                      </m:e>
                      <m:sub>
                        <m:r>
                          <m:rPr>
                            <m:sty m:val="p"/>
                          </m:rPr>
                          <m:t>t</m:t>
                        </m:r>
                      </m:sub>
                    </m:sSub>
                  </m:e>
                </m:d>
                <m:r>
                  <m:t>≠</m:t>
                </m:r>
                <m:r>
                  <m:rPr>
                    <m:sty m:val="p"/>
                  </m:rPr>
                  <m:t>sgn</m:t>
                </m:r>
                <m:d>
                  <m:dPr>
                    <m:begChr m:val="("/>
                    <m:endChr m:val=")"/>
                  </m:dPr>
                  <m:e>
                    <m:sSub>
                      <m:e>
                        <m:r>
                          <m:t>z</m:t>
                        </m:r>
                      </m:e>
                      <m:sub>
                        <m:r>
                          <m:rPr>
                            <m:sty m:val="p"/>
                          </m:rPr>
                          <m:t>t−4</m:t>
                        </m:r>
                      </m:sub>
                    </m:sSub>
                  </m:e>
                </m:d>
                <m:r>
                  <m:rPr>
                    <m:sty m:val="p"/>
                  </m:rPr>
                  <m:t>    ∧    </m:t>
                </m:r>
                <m:d>
                  <m:dPr>
                    <m:begChr m:val="|"/>
                    <m:endChr m:val="|"/>
                  </m:dPr>
                  <m:e>
                    <m:sSub>
                      <m:e>
                        <m:r>
                          <m:t>z</m:t>
                        </m:r>
                      </m:e>
                      <m:sub>
                        <m:r>
                          <m:rPr>
                            <m:sty m:val="p"/>
                          </m:rPr>
                          <m:t>t−4</m:t>
                        </m:r>
                      </m:sub>
                    </m:sSub>
                  </m:e>
                </m:d>
                <m:r>
                  <m:t>&gt;</m:t>
                </m:r>
                <m:r>
                  <m:rPr>
                    <m:sty m:val="p"/>
                  </m:rPr>
                  <m:t>0.5</m:t>
                </m:r>
              </m:oMath>
            </m:oMathPara>
          </w:p>
        </w:tc>
        <w:tc>
          <w:tcPr>
            <w:tcW w:type="dxa" w:w="4536"/>
            <w:tcBorders>
              <w:top w:val="nil"/>
              <w:left w:val="nil"/>
              <w:bottom w:val="nil"/>
              <w:right w:val="nil"/>
            </w:tcBorders>
          </w:tcPr>
          <w:p>
            <w:pPr>
              <w:jc w:val="right"/>
            </w:pPr>
            <w:r>
              <w:rPr>
                <w:sz w:val="20"/>
              </w:rPr>
              <w:t>(7.6)</w:t>
            </w:r>
          </w:p>
        </w:tc>
      </w:tr>
    </w:tbl>
    <w:p/>
    <w:p>
      <w:pPr>
        <w:spacing w:after="120"/>
      </w:pPr>
      <w:r>
        <w:rPr>
          <w:b w:val="0"/>
          <w:i w:val="0"/>
          <w:sz w:val="21"/>
        </w:rPr>
        <w:t>Stable — none of the above. The trajectory is purely diagnostic; it does not feed the regime call. Its purpose is to give a reader of the snapshot output a one-glance read on whether an indicator's signal is strengthening, weakening, or turning over without re-examining the raw z-score history. The four supplementary z-score samples (one, four, and thirteen weeks ago, plus the thirteen-week peak in absolute value) are also exposed in the snapshot CSV so a reader can verify the classification.</w:t>
      </w:r>
    </w:p>
    <w:p>
      <w:pPr>
        <w:pStyle w:val="Heading2"/>
        <w:spacing w:before="200" w:after="40"/>
      </w:pPr>
      <w:r>
        <w:t>7.5  Cycle-timing classification</w:t>
      </w:r>
    </w:p>
    <w:p>
      <w:pPr>
        <w:spacing w:after="120"/>
      </w:pPr>
      <w:r>
        <w:rPr>
          <w:b w:val="0"/>
          <w:i w:val="0"/>
          <w:sz w:val="21"/>
        </w:rPr>
        <w:t>Each indicator carries a cycle-timing tag of Leading, Coincident, or Lagging in the indicator-library CSV. The tag is determined editorially against academic and practitioner literature for that indicator's referent — yield-curve inversion is Leading by approximately twelve months, ISM new orders is Leading by approximately six weeks, NBER recession dates are Lagging. Of the ninety-two indicators currently in the library, ninety are Leading, two are Coincident, and none are Lagging — a deliberate skew, since the project's analytical purpose is forward-looking and the indicator selection has been biased accordingly.</w:t>
      </w:r>
    </w:p>
    <w:tbl>
      <w:tblPr>
        <w:tblW w:type="auto" w:w="0"/>
        <w:tblLook w:firstColumn="1" w:firstRow="1" w:lastColumn="0" w:lastRow="0" w:noHBand="0" w:noVBand="1" w:val="04A0"/>
      </w:tblPr>
      <w:tblGrid>
        <w:gridCol w:w="9072"/>
      </w:tblGrid>
      <w:tr>
        <w:tc>
          <w:tcPr>
            <w:tcW w:type="dxa" w:w="9072"/>
            <w:shd w:val="clear" w:color="auto" w:fill="F2F2F2"/>
            <w:vAlign w:val="top"/>
          </w:tcPr>
          <w:p>
            <w:pPr>
              <w:spacing w:after="40"/>
            </w:pPr>
            <w:r>
              <w:rPr>
                <w:b/>
                <w:sz w:val="20"/>
              </w:rPr>
              <w:t>The four labels read together</w:t>
            </w:r>
          </w:p>
          <w:p>
            <w:pPr>
              <w:spacing w:after="0"/>
            </w:pPr>
            <w:r>
              <w:rPr>
                <w:sz w:val="20"/>
              </w:rPr>
              <w:t>A high-conviction regime call combines all four signals: the current regime is on the right side of the bucket boundary, the forward regime carries [leading] and reads improving, the z-score trajectory is intensifying, and the cycle-timing tag is Leading. The opposite — current regime deep in one bucket while the forward regime contradicts and the trajectory is reversing — is the early-warning state that a regime transition is in progress. Regime-based asset allocation work depends on this multi-signal reading.</w:t>
            </w:r>
          </w:p>
        </w:tc>
      </w:tr>
    </w:tbl>
    <w:p/>
    <w:p>
      <w:r>
        <w:br w:type="page"/>
      </w:r>
    </w:p>
    <w:p>
      <w:pPr>
        <w:pStyle w:val="Heading1"/>
        <w:spacing w:before="0" w:after="160"/>
      </w:pPr>
      <w:r>
        <w:t>8.  Operational Scaffolding</w:t>
      </w:r>
    </w:p>
    <w:p>
      <w:pPr>
        <w:spacing w:after="120"/>
      </w:pPr>
      <w:r>
        <w:rPr>
          <w:b w:val="0"/>
          <w:i w:val="0"/>
          <w:sz w:val="21"/>
        </w:rPr>
        <w:t>Daily operation of a multi-source data pipeline produces a non-trivial volume of failure modes: HTTP errors, dead tickers, schema drift between code and registry, silent publisher freezes that the Friday-spine forward-fill would otherwise mask, and retroactive source-side history truncation. An integrated audit subsystem detects all of these in a single daily report and surfaces them through a perpetual GitHub Issue thread. A writeback step automates the most common remediation (retiring persistently dead tickers). A separate operator-gated utility synchronises history files with their source-of-truth registries when rows are deliberately removed.</w:t>
      </w:r>
    </w:p>
    <w:p>
      <w:pPr>
        <w:pStyle w:val="Heading2"/>
        <w:spacing w:before="200" w:after="40"/>
      </w:pPr>
      <w:r>
        <w:t>8.1  The daily integrated audit</w:t>
      </w:r>
    </w:p>
    <w:p>
      <w:pPr>
        <w:spacing w:after="120"/>
      </w:pPr>
      <w:r>
        <w:rPr>
          <w:b w:val="0"/>
          <w:i w:val="0"/>
          <w:sz w:val="21"/>
        </w:rPr>
        <w:t>The audit runs as the post-fetch, post-explorer step of the GitHub Actions workflow. It produces two artefacts: a full plaintext report (data_audit.txt) committed alongside the data CSVs, and a Markdown body (audit_comment.md) posted as a comment to the perpetual daily-audit GitHub Issue. The first line of the comment is always one of:</w:t>
      </w:r>
    </w:p>
    <w:p>
      <w:pPr>
        <w:pStyle w:val="ListBullet"/>
      </w:pPr>
      <w:r>
        <w:rPr>
          <w:sz w:val="21"/>
        </w:rPr>
        <w:t>## Daily audit — YYYY-MM-DD — ALL CLEAN</w:t>
      </w:r>
    </w:p>
    <w:p>
      <w:pPr>
        <w:pStyle w:val="ListBullet"/>
      </w:pPr>
      <w:r>
        <w:rPr>
          <w:sz w:val="21"/>
        </w:rPr>
        <w:t>## Daily audit — YYYY-MM-DD — N ISSUES (X fetch errors, Y static-check failures, Z stale series, …)</w:t>
      </w:r>
    </w:p>
    <w:p>
      <w:pPr>
        <w:spacing w:after="120"/>
      </w:pPr>
      <w:r>
        <w:rPr>
          <w:b w:val="0"/>
          <w:i w:val="0"/>
          <w:sz w:val="21"/>
        </w:rPr>
        <w:t>Detail follows in collapsible Markdown sections; row counts per category are capped for readability with full detail in the plaintext report. The audit is a strict warning channel — it always exits cleanly, never failing the workflow.</w:t>
      </w:r>
    </w:p>
    <w:p>
      <w:pPr>
        <w:pStyle w:val="Heading2"/>
        <w:spacing w:before="200" w:after="40"/>
      </w:pPr>
      <w:r>
        <w:t>8.2  Section A — fetch outcomes</w:t>
      </w:r>
    </w:p>
    <w:p>
      <w:pPr>
        <w:spacing w:after="120"/>
      </w:pPr>
      <w:r>
        <w:rPr>
          <w:b w:val="0"/>
          <w:i w:val="0"/>
          <w:sz w:val="21"/>
        </w:rPr>
        <w:t>Section A scrapes the freshly-captured pipeline.log for known failure patterns: HTTP 4xx/5xx errors that survived the exponential backoff, yfinance ‘possibly delisted’ warnings, and ‘Quote not found for symbol’ messages. yfinance suspects are cross-checked against the latest non-empty row of the comp-pipeline history file to filter transient warnings — a ticker that returned no data for one fetch but shows up in the latest history row was clearly a transient failure, not a delisting. Retried-then-recovered transients are filtered out by matching only the ‘— skipping’ suffix in the log line.</w:t>
      </w:r>
    </w:p>
    <w:p>
      <w:pPr>
        <w:pStyle w:val="Heading2"/>
        <w:spacing w:before="200" w:after="40"/>
      </w:pPr>
      <w:r>
        <w:t>8.3  Section B — static checks</w:t>
      </w:r>
    </w:p>
    <w:p>
      <w:pPr>
        <w:spacing w:after="120"/>
      </w:pPr>
      <w:r>
        <w:rPr>
          <w:b w:val="0"/>
          <w:i w:val="0"/>
          <w:sz w:val="21"/>
        </w:rPr>
        <w:t>Section B runs a battery of consistency checks against the registry CSVs and the code that consumes them. Each is a local operation requiring no network access:</w:t>
      </w:r>
    </w:p>
    <w:p>
      <w:pPr>
        <w:pStyle w:val="ListBullet"/>
      </w:pPr>
      <w:r>
        <w:rPr>
          <w:sz w:val="21"/>
        </w:rPr>
        <w:t>Country-code orphans: every code referenced in the per-source libraries must exist in macro_library_countries.csv.</w:t>
      </w:r>
    </w:p>
    <w:p>
      <w:pPr>
        <w:pStyle w:val="ListBullet"/>
      </w:pPr>
      <w:r>
        <w:rPr>
          <w:sz w:val="21"/>
        </w:rPr>
        <w:t>Indicator-id uniqueness: no two rows in macro_indicator_library.csv share an id.</w:t>
      </w:r>
    </w:p>
    <w:p>
      <w:pPr>
        <w:pStyle w:val="ListBullet"/>
      </w:pPr>
      <w:r>
        <w:rPr>
          <w:sz w:val="21"/>
        </w:rPr>
        <w:t>Calculator registration: every id in the indicator library must be registered as a calculator in compute_macro_market.py.</w:t>
      </w:r>
    </w:p>
    <w:p>
      <w:pPr>
        <w:pStyle w:val="ListBullet"/>
      </w:pPr>
      <w:r>
        <w:rPr>
          <w:sz w:val="21"/>
        </w:rPr>
        <w:t>Column-existence: every literal passed to _get_col(...) by a calculator must resolve to a column in the unified macro hist.</w:t>
      </w:r>
    </w:p>
    <w:p>
      <w:pPr>
        <w:pStyle w:val="ListBullet"/>
      </w:pPr>
      <w:r>
        <w:rPr>
          <w:sz w:val="21"/>
        </w:rPr>
        <w:t>Registry drift across all three history-vs-library pairs (comp / macro_economic / macro_market): every column in each history file must trace back to a row in its source-of-truth library. Orphan columns are reported with the recommended remediation: ‘run python library_sync.py --confirm’.</w:t>
      </w:r>
    </w:p>
    <w:p>
      <w:pPr>
        <w:pStyle w:val="Heading2"/>
        <w:spacing w:before="200" w:after="40"/>
      </w:pPr>
      <w:r>
        <w:t>8.4  Section C — value-change staleness</w:t>
      </w:r>
    </w:p>
    <w:p>
      <w:pPr>
        <w:spacing w:after="120"/>
      </w:pPr>
      <w:r>
        <w:rPr>
          <w:b w:val="0"/>
          <w:i w:val="0"/>
          <w:sz w:val="21"/>
        </w:rPr>
        <w:t>Section C addresses the failure mode that the Friday-spine forward-fill would otherwise mask: a publisher silently stopping its updates while the most-recent observation continues to populate every Friday slot via forward-fill. The audit walks every column of the unified macro hist, finds the last date on which the value actually changed (rather than the last non-null cell), and computes the age in days:</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r>
                  <m:rPr>
                    <m:sty m:val="p"/>
                  </m:rPr>
                  <m:t>age</m:t>
                </m:r>
                <m:d>
                  <m:dPr>
                    <m:begChr m:val="("/>
                    <m:endChr m:val=")"/>
                  </m:dPr>
                  <m:e>
                    <m:r>
                      <m:t>s</m:t>
                    </m:r>
                  </m:e>
                </m:d>
                <m:r>
                  <m:t>=</m:t>
                </m:r>
                <m:sSub>
                  <m:e>
                    <m:r>
                      <m:t>t</m:t>
                    </m:r>
                  </m:e>
                  <m:sub>
                    <m:r>
                      <m:rPr>
                        <m:sty m:val="p"/>
                      </m:rPr>
                      <m:t>now</m:t>
                    </m:r>
                  </m:sub>
                </m:sSub>
                <m:r>
                  <m:t>−</m:t>
                </m:r>
                <m:sSub>
                  <m:e>
                    <m:r>
                      <m:t>t</m:t>
                    </m:r>
                  </m:e>
                  <m:sub>
                    <m:r>
                      <m:rPr>
                        <m:sty m:val="p"/>
                      </m:rPr>
                      <m:t>change</m:t>
                    </m:r>
                  </m:sub>
                </m:sSub>
                <m:d>
                  <m:dPr>
                    <m:begChr m:val="("/>
                    <m:endChr m:val=")"/>
                  </m:dPr>
                  <m:e>
                    <m:r>
                      <m:t>s</m:t>
                    </m:r>
                  </m:e>
                </m:d>
              </m:oMath>
            </m:oMathPara>
          </w:p>
        </w:tc>
        <w:tc>
          <w:tcPr>
            <w:tcW w:type="dxa" w:w="4536"/>
            <w:tcBorders>
              <w:top w:val="nil"/>
              <w:left w:val="nil"/>
              <w:bottom w:val="nil"/>
              <w:right w:val="nil"/>
            </w:tcBorders>
          </w:tcPr>
          <w:p>
            <w:pPr>
              <w:jc w:val="right"/>
            </w:pPr>
            <w:r>
              <w:rPr>
                <w:sz w:val="20"/>
              </w:rPr>
              <w:t>(8.1)</w:t>
            </w:r>
          </w:p>
        </w:tc>
      </w:tr>
    </w:tbl>
    <w:p/>
    <w:p>
      <w:pPr>
        <w:spacing w:after="120"/>
      </w:pPr>
      <w:r>
        <w:rPr>
          <w:b w:val="0"/>
          <w:i w:val="0"/>
          <w:sz w:val="21"/>
        </w:rPr>
        <w:t>This age is then bucketed against a per-frequency tolerance T loaded from data/freshness_thresholds.csv (5 days for daily series, 10 for weekly, 45 for monthly, 120 for quarterly, 540 for annual). Per-row overrides on the per-source library files allow individual series with longer-than-normal publisher lag to be calibrated upward. The classification is:</w:t>
      </w:r>
    </w:p>
    <w:tbl>
      <w:tblPr>
        <w:tblW w:type="auto" w:w="0"/>
        <w:tblLayout w:type="fixed"/>
        <w:tblLook w:firstColumn="1" w:firstRow="1" w:lastColumn="0" w:lastRow="0" w:noHBand="0" w:noVBand="1" w:val="04A0"/>
      </w:tblPr>
      <w:tblGrid>
        <w:gridCol w:w="7776"/>
        <w:gridCol w:w="1296"/>
      </w:tblGrid>
      <w:tr>
        <w:tc>
          <w:tcPr>
            <w:tcW w:type="dxa" w:w="4536"/>
            <w:tcBorders>
              <w:top w:val="nil"/>
              <w:left w:val="nil"/>
              <w:bottom w:val="nil"/>
              <w:right w:val="nil"/>
            </w:tcBorders>
          </w:tcPr>
          <w:p>
            <w:pPr>
              <w:jc w:val="center"/>
            </w:pPr>
            <m:oMathPara>
              <m:oMath>
                <m:r>
                  <m:rPr>
                    <m:sty m:val="p"/>
                  </m:rPr>
                  <m:t>classify</m:t>
                </m:r>
                <m:d>
                  <m:dPr>
                    <m:begChr m:val="("/>
                    <m:endChr m:val=")"/>
                  </m:dPr>
                  <m:e>
                    <m:r>
                      <m:rPr>
                        <m:sty m:val="p"/>
                      </m:rPr>
                      <m:t>age</m:t>
                    </m:r>
                  </m:e>
                </m:d>
                <m:r>
                  <m:t>=</m:t>
                </m:r>
                <m:d>
                  <m:dPr>
                    <m:begChr m:val="{"/>
                    <m:endChr m:val=""/>
                  </m:dPr>
                  <m:e>
                    <m:eqArr>
                      <m:eqArrPr>
                        <m:baseJc m:val="center"/>
                      </m:eqArrPr>
                      <m:e>
                        <m:r>
                          <m:rPr>
                            <m:sty m:val="p"/>
                          </m:rPr>
                          <m:t>FRESH</m:t>
                        </m:r>
                        <m:r>
                          <m:rPr>
                            <m:sty m:val="p"/>
                          </m:rPr>
                          <m:t>,         if age ≤ T</m:t>
                        </m:r>
                      </m:e>
                      <m:e>
                        <m:r>
                          <m:rPr>
                            <m:sty m:val="p"/>
                          </m:rPr>
                          <m:t>STALE</m:t>
                        </m:r>
                        <m:r>
                          <m:rPr>
                            <m:sty m:val="p"/>
                          </m:rPr>
                          <m:t>,         if T &lt; age ≤ 2T</m:t>
                        </m:r>
                      </m:e>
                      <m:e>
                        <m:r>
                          <m:rPr>
                            <m:sty m:val="p"/>
                          </m:rPr>
                          <m:t>EXPIRED</m:t>
                        </m:r>
                        <m:r>
                          <m:rPr>
                            <m:sty m:val="p"/>
                          </m:rPr>
                          <m:t>,   if age &gt; 2T</m:t>
                        </m:r>
                      </m:e>
                    </m:eqArr>
                  </m:e>
                </m:d>
              </m:oMath>
            </m:oMathPara>
          </w:p>
        </w:tc>
        <w:tc>
          <w:tcPr>
            <w:tcW w:type="dxa" w:w="4536"/>
            <w:tcBorders>
              <w:top w:val="nil"/>
              <w:left w:val="nil"/>
              <w:bottom w:val="nil"/>
              <w:right w:val="nil"/>
            </w:tcBorders>
          </w:tcPr>
          <w:p>
            <w:pPr>
              <w:jc w:val="right"/>
            </w:pPr>
            <w:r>
              <w:rPr>
                <w:sz w:val="20"/>
              </w:rPr>
              <w:t>(8.2)</w:t>
            </w:r>
          </w:p>
        </w:tc>
      </w:tr>
    </w:tbl>
    <w:p/>
    <w:p>
      <w:pPr>
        <w:spacing w:after="120"/>
      </w:pPr>
      <w:r>
        <w:rPr>
          <w:b w:val="0"/>
          <w:i w:val="0"/>
          <w:sz w:val="21"/>
        </w:rPr>
        <w:t>FRESH series are silent in the audit. STALE series receive a one-line note. EXPIRED series are surfaced in the headline issue count and listed individually in the report. A 2026-04-29 bulk pass widened tolerances on 48 rows where the 30-50 day publisher cadence on monthly series was producing benign STALE noise; the cluster-to-override mapping is recorded in technical_manual.md §9.8 as the durable record of what was chosen and why.</w:t>
      </w:r>
    </w:p>
    <w:p>
      <w:pPr>
        <w:pStyle w:val="Heading2"/>
        <w:spacing w:before="200" w:after="40"/>
      </w:pPr>
      <w:r>
        <w:t>8.5  Section D — history preservation</w:t>
      </w:r>
    </w:p>
    <w:p>
      <w:pPr>
        <w:spacing w:after="120"/>
      </w:pPr>
      <w:r>
        <w:rPr>
          <w:b w:val="0"/>
          <w:i w:val="0"/>
          <w:sz w:val="21"/>
        </w:rPr>
        <w:t>Section D, added 30 April 2026 in response to the ICE BofA truncation event, reports per-history-file row counts (live file, sister x-file, and union) and the date range of each. Two specific alerts fire: (a) any ICE-BofA-bearing live file with no sister x-file, and (b) sister rows being a strict subset of live rows, which would indicate a regression in the history-preservation writer. The mechanics of the preservation rule are documented in §5.9; Section D is the monitoring channel for it.</w:t>
      </w:r>
    </w:p>
    <w:p>
      <w:pPr>
        <w:pStyle w:val="Heading2"/>
        <w:spacing w:before="200" w:after="40"/>
      </w:pPr>
      <w:r>
        <w:t>8.6  Library writeback</w:t>
      </w:r>
    </w:p>
    <w:p>
      <w:pPr>
        <w:spacing w:after="120"/>
      </w:pPr>
      <w:r>
        <w:rPr>
          <w:b w:val="0"/>
          <w:i w:val="0"/>
          <w:sz w:val="21"/>
        </w:rPr>
        <w:t>audit_writeback.py runs immediately after the audit. It parses Section A's yfinance-dead list, maintains a per-ticker dead-streak counter in data/yfinance_failure_streaks.csv, and flips a row's validation_status from CONFIRMED to UNAVAILABLE once its streak reaches fourteen consecutive days. A single-line summary of any flips is appended to audit_comment.md so the daily GitHub-Issue notification surfaces them.</w:t>
      </w:r>
    </w:p>
    <w:p>
      <w:pPr>
        <w:spacing w:after="120"/>
      </w:pPr>
      <w:r>
        <w:rPr>
          <w:b w:val="0"/>
          <w:i w:val="0"/>
          <w:sz w:val="21"/>
        </w:rPr>
        <w:t>The fourteen-day threshold is an operationally-tuned compromise. It is long enough that genuine transient outages (a weekend yfinance throttle, a one-day FRED maintenance window) do not trigger spurious retirement, and short enough that a permanently delisted ticker is removed from the fetch budget within a fortnight. Manual override always wins — re-setting validation_status to CONFIRMED after a real fix restarts the streak at zero on the next day's run.</w:t>
      </w:r>
    </w:p>
    <w:p>
      <w:pPr>
        <w:pStyle w:val="Heading2"/>
        <w:spacing w:before="200" w:after="40"/>
      </w:pPr>
      <w:r>
        <w:t>8.7  Library-sync utility</w:t>
      </w:r>
    </w:p>
    <w:p>
      <w:pPr>
        <w:spacing w:after="120"/>
      </w:pPr>
      <w:r>
        <w:rPr>
          <w:b w:val="0"/>
          <w:i w:val="0"/>
          <w:sz w:val="21"/>
        </w:rPr>
        <w:t>library_sync.py is the operator-gated companion to the registry-drift static check. When a row is deliberately removed from a registry CSV, the corresponding column in the relevant history file becomes orphaned. The utility covers three history-versus-library pairs: the comp pipeline (index_library.csv against market_data_comp_hist.csv), the macro-economic layer (the union of seven library CSVs against macro_economic_hist.csv), and the macro-market layer (macro_indicator_library.csv against macro_market_hist.csv with each indicator id producing four columns). For each orphan column, the existing data is archived to data/_archived_columns/ before the column is dropped from the live history file. Default mode is dry-run; the operator passes --confirm to apply.</w:t>
      </w:r>
    </w:p>
    <w:tbl>
      <w:tblPr>
        <w:tblW w:type="auto" w:w="0"/>
        <w:tblLook w:firstColumn="1" w:firstRow="1" w:lastColumn="0" w:lastRow="0" w:noHBand="0" w:noVBand="1" w:val="04A0"/>
      </w:tblPr>
      <w:tblGrid>
        <w:gridCol w:w="9072"/>
      </w:tblGrid>
      <w:tr>
        <w:tc>
          <w:tcPr>
            <w:tcW w:type="dxa" w:w="9072"/>
            <w:shd w:val="clear" w:color="auto" w:fill="F2F2F2"/>
            <w:vAlign w:val="top"/>
          </w:tcPr>
          <w:p>
            <w:pPr>
              <w:spacing w:after="40"/>
            </w:pPr>
            <w:r>
              <w:rPr>
                <w:b/>
                <w:sz w:val="20"/>
              </w:rPr>
              <w:t>Why archive rather than delete?</w:t>
            </w:r>
          </w:p>
          <w:p>
            <w:pPr>
              <w:spacing w:after="0"/>
            </w:pPr>
            <w:r>
              <w:rPr>
                <w:sz w:val="20"/>
              </w:rPr>
              <w:t>An orphan column is the result of a deliberate operator edit to the registry — a series being retired, a ticker being replaced with a proxy. Archiving preserves the historical data so that subsequent analytical work, or a reversal of the decision, can recover it without a round-trip to the original publisher. The archived files are tiny and version-controlled; the storage cost is negligible against the analytical cost of irreversible loss.</w:t>
            </w:r>
          </w:p>
        </w:tc>
      </w:tr>
    </w:tbl>
    <w:p/>
    <w:p>
      <w:r>
        <w:br w:type="page"/>
      </w:r>
    </w:p>
    <w:p>
      <w:pPr>
        <w:pStyle w:val="Heading1"/>
      </w:pPr>
      <w:r>
        <w:t>Appendix Z — Equation library probe (interim)</w:t>
      </w:r>
    </w:p>
    <w:p>
      <w:pPr>
        <w:spacing w:after="120"/>
      </w:pPr>
      <w:r>
        <w:rPr>
          <w:b w:val="0"/>
          <w:i/>
          <w:sz w:val="21"/>
        </w:rPr>
        <w:t>This appendix renders every equation in the report's library as a centred display equation, for typography review. It will be removed in Step 6 once equations have been individually signed off in their final positions in the body. Reviewer to confirm italic-symbol / upright-label conventions, piecewise legibility, and operator spacing.</w:t>
      </w:r>
    </w:p>
    <w:p>
      <w:r>
        <w:rPr>
          <w:i/>
        </w:rPr>
        <w:t>Equation count: 25.</w:t>
      </w:r>
    </w:p>
    <w:p>
      <w:pPr>
        <w:spacing w:before="200" w:after="40"/>
      </w:pPr>
      <w:r>
        <w:rPr>
          <w:b/>
          <w:sz w:val="22"/>
        </w:rPr>
        <w:t>USD-adjusted return identity</w:t>
      </w:r>
    </w:p>
    <w:p>
      <w:pPr>
        <w:spacing w:after="80"/>
      </w:pPr>
      <w:r>
        <w:rPr>
          <w:i/>
          <w:sz w:val="19"/>
        </w:rPr>
        <w:t>FX composition for foreign-currency instruments</w:t>
      </w:r>
    </w:p>
    <w:p>
      <w:pPr>
        <w:spacing w:before="40" w:after="160"/>
        <w:jc w:val="center"/>
      </w:pPr>
      <m:oMathPara>
        <m:oMath>
          <m:sSub>
            <m:e>
              <m:r>
                <m:t>r</m:t>
              </m:r>
            </m:e>
            <m:sub>
              <m:r>
                <m:rPr>
                  <m:sty m:val="p"/>
                </m:rPr>
                <m:t>USD</m:t>
              </m:r>
            </m:sub>
          </m:sSub>
          <m:r>
            <m:t>=</m:t>
          </m:r>
          <m:d>
            <m:dPr>
              <m:begChr m:val="("/>
              <m:endChr m:val=")"/>
            </m:dPr>
            <m:e>
              <m:r>
                <m:rPr>
                  <m:sty m:val="p"/>
                </m:rPr>
                <m:t>1+</m:t>
              </m:r>
              <m:sSub>
                <m:e>
                  <m:r>
                    <m:t>r</m:t>
                  </m:r>
                </m:e>
                <m:sub>
                  <m:r>
                    <m:rPr>
                      <m:sty m:val="p"/>
                    </m:rPr>
                    <m:t>local</m:t>
                  </m:r>
                </m:sub>
              </m:sSub>
            </m:e>
          </m:d>
          <m:d>
            <m:dPr>
              <m:begChr m:val="("/>
              <m:endChr m:val=")"/>
            </m:dPr>
            <m:e>
              <m:r>
                <m:rPr>
                  <m:sty m:val="p"/>
                </m:rPr>
                <m:t>1+</m:t>
              </m:r>
              <m:sSub>
                <m:e>
                  <m:r>
                    <m:t>r</m:t>
                  </m:r>
                </m:e>
                <m:sub>
                  <m:r>
                    <m:rPr>
                      <m:sty m:val="p"/>
                    </m:rPr>
                    <m:t>FX</m:t>
                  </m:r>
                </m:sub>
              </m:sSub>
            </m:e>
          </m:d>
          <m:r>
            <m:t>−1</m:t>
          </m:r>
        </m:oMath>
      </m:oMathPara>
    </w:p>
    <w:p>
      <w:pPr>
        <w:spacing w:before="200" w:after="40"/>
      </w:pPr>
      <w:r>
        <w:rPr>
          <w:b/>
          <w:sz w:val="22"/>
        </w:rPr>
        <w:t>LSE pence correction</w:t>
      </w:r>
    </w:p>
    <w:p>
      <w:pPr>
        <w:spacing w:after="80"/>
      </w:pPr>
      <w:r>
        <w:rPr>
          <w:i/>
          <w:sz w:val="19"/>
        </w:rPr>
        <w:t>Dynamic divisor for ‘.L’ tickers reporting in GBp</w:t>
      </w:r>
    </w:p>
    <w:p>
      <w:pPr>
        <w:spacing w:before="40" w:after="160"/>
        <w:jc w:val="center"/>
      </w:pPr>
      <m:oMathPara>
        <m:oMath>
          <m:sSup>
            <m:e>
              <m:r>
                <m:t>x</m:t>
              </m:r>
            </m:e>
            <m:sup>
              <m:r>
                <m:t>′</m:t>
              </m:r>
            </m:sup>
          </m:sSup>
          <m:r>
            <m:t>=</m:t>
          </m:r>
          <m:d>
            <m:dPr>
              <m:begChr m:val="{"/>
              <m:endChr m:val=""/>
            </m:dPr>
            <m:e>
              <m:eqArr>
                <m:eqArrPr>
                  <m:baseJc m:val="center"/>
                </m:eqArrPr>
                <m:e>
                  <m:f>
                    <m:num>
                      <m:r>
                        <m:t>x</m:t>
                      </m:r>
                    </m:num>
                    <m:den>
                      <m:r>
                        <m:rPr>
                          <m:sty m:val="p"/>
                        </m:rPr>
                        <m:t>100</m:t>
                      </m:r>
                    </m:den>
                  </m:f>
                  <m:r>
                    <m:rPr>
                      <m:sty m:val="p"/>
                    </m:rPr>
                    <m:t>,   if ticker ends ‘.L’ and median(x) &gt; 50</m:t>
                  </m:r>
                </m:e>
                <m:e>
                  <m:r>
                    <m:t>x</m:t>
                  </m:r>
                  <m:r>
                    <m:rPr>
                      <m:sty m:val="p"/>
                    </m:rPr>
                    <m:t>,   otherwise</m:t>
                  </m:r>
                </m:e>
              </m:eqArr>
            </m:e>
          </m:d>
        </m:oMath>
      </m:oMathPara>
    </w:p>
    <w:p>
      <w:pPr>
        <w:spacing w:before="200" w:after="40"/>
      </w:pPr>
      <w:r>
        <w:rPr>
          <w:b/>
          <w:sz w:val="22"/>
        </w:rPr>
        <w:t>Friday-spine alignment</w:t>
      </w:r>
    </w:p>
    <w:p>
      <w:pPr>
        <w:spacing w:after="80"/>
      </w:pPr>
      <w:r>
        <w:rPr>
          <w:i/>
          <w:sz w:val="19"/>
        </w:rPr>
        <w:t>Weekly snapshot from arbitrary-cadence series</w:t>
      </w:r>
    </w:p>
    <w:p>
      <w:pPr>
        <w:spacing w:before="40" w:after="160"/>
        <w:jc w:val="center"/>
      </w:pPr>
      <m:oMathPara>
        <m:oMath>
          <m:sSubSup>
            <m:e>
              <m:r>
                <m:t>S</m:t>
              </m:r>
            </m:e>
            <m:sub>
              <m:r>
                <m:t>t</m:t>
              </m:r>
            </m:sub>
            <m:sup>
              <m:r>
                <m:rPr>
                  <m:sty m:val="p"/>
                </m:rPr>
                <m:t>F</m:t>
              </m:r>
            </m:sup>
          </m:sSubSup>
          <m:r>
            <m:t>=</m:t>
          </m:r>
          <m:r>
            <m:t>S</m:t>
          </m:r>
          <m:d>
            <m:dPr>
              <m:begChr m:val="("/>
              <m:endChr m:val=")"/>
            </m:dPr>
            <m:e>
              <m:r>
                <m:t>τ</m:t>
              </m:r>
            </m:e>
          </m:d>
          <m:r>
            <m:rPr>
              <m:sty m:val="p"/>
            </m:rPr>
            <m:t>,   τ = max</m:t>
          </m:r>
          <m:d>
            <m:dPr>
              <m:begChr m:val="("/>
              <m:endChr m:val=")"/>
            </m:dPr>
            <m:e>
              <m:r>
                <m:rPr>
                  <m:sty m:val="p"/>
                </m:rPr>
                <m:t>s ≤ t : S(s) defined</m:t>
              </m:r>
            </m:e>
          </m:d>
        </m:oMath>
      </m:oMathPara>
    </w:p>
    <w:p>
      <w:pPr>
        <w:spacing w:before="200" w:after="40"/>
      </w:pPr>
      <w:r>
        <w:rPr>
          <w:b/>
          <w:sz w:val="22"/>
        </w:rPr>
        <w:t>Rolling z-score</w:t>
      </w:r>
    </w:p>
    <w:p>
      <w:pPr>
        <w:spacing w:after="80"/>
      </w:pPr>
      <w:r>
        <w:rPr>
          <w:i/>
          <w:sz w:val="19"/>
        </w:rPr>
        <w:t>Three-year window, 52-week warm-up</w:t>
      </w:r>
    </w:p>
    <w:p>
      <w:pPr>
        <w:spacing w:before="40" w:after="160"/>
        <w:jc w:val="center"/>
      </w:pPr>
      <m:oMathPara>
        <m:oMath>
          <m:sSub>
            <m:e>
              <m:r>
                <m:t>z</m:t>
              </m:r>
            </m:e>
            <m:sub>
              <m:r>
                <m:t>t</m:t>
              </m:r>
            </m:sub>
          </m:sSub>
          <m:r>
            <m:t>=</m:t>
          </m:r>
          <m:f>
            <m:num>
              <m:sSub>
                <m:e>
                  <m:r>
                    <m:t>x</m:t>
                  </m:r>
                </m:e>
                <m:sub>
                  <m:r>
                    <m:t>t</m:t>
                  </m:r>
                </m:sub>
              </m:sSub>
              <m:r>
                <m:t>−</m:t>
              </m:r>
              <m:sSub>
                <m:e>
                  <m:r>
                    <m:t>μ</m:t>
                  </m:r>
                </m:e>
                <m:sub>
                  <m:r>
                    <m:t>W</m:t>
                  </m:r>
                </m:sub>
              </m:sSub>
              <m:d>
                <m:dPr>
                  <m:begChr m:val="("/>
                  <m:endChr m:val=")"/>
                </m:dPr>
                <m:e>
                  <m:r>
                    <m:t>t</m:t>
                  </m:r>
                </m:e>
              </m:d>
            </m:num>
            <m:den>
              <m:sSub>
                <m:e>
                  <m:r>
                    <m:t>σ</m:t>
                  </m:r>
                </m:e>
                <m:sub>
                  <m:r>
                    <m:t>W</m:t>
                  </m:r>
                </m:sub>
              </m:sSub>
              <m:d>
                <m:dPr>
                  <m:begChr m:val="("/>
                  <m:endChr m:val=")"/>
                </m:dPr>
                <m:e>
                  <m:r>
                    <m:t>t</m:t>
                  </m:r>
                </m:e>
              </m:d>
            </m:den>
          </m:f>
        </m:oMath>
      </m:oMathPara>
    </w:p>
    <w:p>
      <w:pPr>
        <w:spacing w:before="200" w:after="40"/>
      </w:pPr>
      <w:r>
        <w:rPr>
          <w:b/>
          <w:sz w:val="22"/>
        </w:rPr>
        <w:t>Window mean (μ_W)</w:t>
      </w:r>
    </w:p>
    <w:p>
      <w:pPr>
        <w:spacing w:after="80"/>
      </w:pPr>
      <w:r>
        <w:rPr>
          <w:i/>
          <w:sz w:val="19"/>
        </w:rPr>
        <w:t>Window definition, parameter values</w:t>
      </w:r>
    </w:p>
    <w:p>
      <w:pPr>
        <w:spacing w:before="40" w:after="160"/>
        <w:jc w:val="center"/>
      </w:pPr>
      <m:oMathPara>
        <m:oMath>
          <m:sSub>
            <m:e>
              <m:r>
                <m:t>μ</m:t>
              </m:r>
            </m:e>
            <m:sub>
              <m:r>
                <m:t>W</m:t>
              </m:r>
            </m:sub>
          </m:sSub>
          <m:d>
            <m:dPr>
              <m:begChr m:val="("/>
              <m:endChr m:val=")"/>
            </m:dPr>
            <m:e>
              <m:r>
                <m:t>t</m:t>
              </m:r>
            </m:e>
          </m:d>
          <m:r>
            <m:t>=</m:t>
          </m:r>
          <m:f>
            <m:num>
              <m:r>
                <m:rPr>
                  <m:sty m:val="p"/>
                </m:rPr>
                <m:t>1</m:t>
              </m:r>
            </m:num>
            <m:den>
              <m:r>
                <m:t>W</m:t>
              </m:r>
            </m:den>
          </m:f>
          <m:nary>
            <m:naryPr>
              <m:chr m:val="∑"/>
              <m:limLoc m:val="undOvr"/>
            </m:naryPr>
            <m:sub>
              <m:r>
                <m:rPr>
                  <m:sty m:val="p"/>
                </m:rPr>
                <m:t>i=0</m:t>
              </m:r>
            </m:sub>
            <m:sup>
              <m:r>
                <m:rPr>
                  <m:sty m:val="p"/>
                </m:rPr>
                <m:t>W−1</m:t>
              </m:r>
            </m:sup>
            <m:e>
              <m:sSub>
                <m:e>
                  <m:r>
                    <m:t>x</m:t>
                  </m:r>
                </m:e>
                <m:sub>
                  <m:r>
                    <m:t>t−i</m:t>
                  </m:r>
                </m:sub>
              </m:sSub>
            </m:e>
          </m:nary>
          <m:r>
            <m:rPr>
              <m:sty m:val="p"/>
            </m:rPr>
            <m:t>,   W = 156,   min_periods = 52</m:t>
          </m:r>
        </m:oMath>
      </m:oMathPara>
    </w:p>
    <w:p>
      <w:pPr>
        <w:spacing w:before="200" w:after="40"/>
      </w:pPr>
      <w:r>
        <w:rPr>
          <w:b/>
          <w:sz w:val="22"/>
        </w:rPr>
        <w:t>Log-ratio indicator family</w:t>
      </w:r>
    </w:p>
    <w:p>
      <w:pPr>
        <w:spacing w:after="80"/>
      </w:pPr>
      <w:r>
        <w:rPr>
          <w:i/>
          <w:sz w:val="19"/>
        </w:rPr>
        <w:t>Primary calculator template</w:t>
      </w:r>
    </w:p>
    <w:p>
      <w:pPr>
        <w:spacing w:before="40" w:after="160"/>
        <w:jc w:val="center"/>
      </w:pPr>
      <m:oMathPara>
        <m:oMath>
          <m:sSub>
            <m:e>
              <m:r>
                <m:t>I</m:t>
              </m:r>
            </m:e>
            <m:sub>
              <m:r>
                <m:t>t</m:t>
              </m:r>
            </m:sub>
          </m:sSub>
          <m:r>
            <m:t>=</m:t>
          </m:r>
          <m:func>
            <m:fName>
              <m:r>
                <m:rPr>
                  <m:sty m:val="p"/>
                </m:rPr>
                <m:t>log</m:t>
              </m:r>
            </m:fName>
            <m:e>
              <m:f>
                <m:num>
                  <m:sSub>
                    <m:e>
                      <m:r>
                        <m:t>N</m:t>
                      </m:r>
                    </m:e>
                    <m:sub>
                      <m:r>
                        <m:t>t</m:t>
                      </m:r>
                    </m:sub>
                  </m:sSub>
                </m:num>
                <m:den>
                  <m:sSub>
                    <m:e>
                      <m:r>
                        <m:t>D</m:t>
                      </m:r>
                    </m:e>
                    <m:sub>
                      <m:r>
                        <m:t>t</m:t>
                      </m:r>
                    </m:sub>
                  </m:sSub>
                </m:den>
              </m:f>
            </m:e>
          </m:func>
        </m:oMath>
      </m:oMathPara>
    </w:p>
    <w:p>
      <w:pPr>
        <w:spacing w:before="200" w:after="40"/>
      </w:pPr>
      <w:r>
        <w:rPr>
          <w:b/>
          <w:sz w:val="22"/>
        </w:rPr>
        <w:t>Composite log-ratio</w:t>
      </w:r>
    </w:p>
    <w:p>
      <w:pPr>
        <w:spacing w:after="80"/>
      </w:pPr>
      <w:r>
        <w:rPr>
          <w:i/>
          <w:sz w:val="19"/>
        </w:rPr>
        <w:t>Multi-input log-ratio average</w:t>
      </w:r>
    </w:p>
    <w:p>
      <w:pPr>
        <w:spacing w:before="40" w:after="160"/>
        <w:jc w:val="center"/>
      </w:pPr>
      <m:oMathPara>
        <m:oMath>
          <m:sSub>
            <m:e>
              <m:r>
                <m:t>I</m:t>
              </m:r>
            </m:e>
            <m:sub>
              <m:r>
                <m:t>t</m:t>
              </m:r>
            </m:sub>
          </m:sSub>
          <m:r>
            <m:t>=</m:t>
          </m:r>
          <m:f>
            <m:num>
              <m:r>
                <m:rPr>
                  <m:sty m:val="p"/>
                </m:rPr>
                <m:t>1</m:t>
              </m:r>
            </m:num>
            <m:den>
              <m:r>
                <m:t>k</m:t>
              </m:r>
            </m:den>
          </m:f>
          <m:nary>
            <m:naryPr>
              <m:chr m:val="∑"/>
              <m:limLoc m:val="undOvr"/>
            </m:naryPr>
            <m:sub>
              <m:r>
                <m:rPr>
                  <m:sty m:val="p"/>
                </m:rPr>
                <m:t>i=1</m:t>
              </m:r>
            </m:sub>
            <m:sup>
              <m:r>
                <m:t>k</m:t>
              </m:r>
            </m:sup>
            <m:e>
              <m:func>
                <m:fName>
                  <m:r>
                    <m:rPr>
                      <m:sty m:val="p"/>
                    </m:rPr>
                    <m:t>log</m:t>
                  </m:r>
                </m:fName>
                <m:e>
                  <m:f>
                    <m:num>
                      <m:sSub>
                        <m:e>
                          <m:r>
                            <m:t>N</m:t>
                          </m:r>
                        </m:e>
                        <m:sub>
                          <m:r>
                            <m:rPr>
                              <m:sty m:val="p"/>
                            </m:rPr>
                            <m:t>i,t</m:t>
                          </m:r>
                        </m:sub>
                      </m:sSub>
                    </m:num>
                    <m:den>
                      <m:sSub>
                        <m:e>
                          <m:r>
                            <m:t>D</m:t>
                          </m:r>
                        </m:e>
                        <m:sub>
                          <m:r>
                            <m:rPr>
                              <m:sty m:val="p"/>
                            </m:rPr>
                            <m:t>i,t</m:t>
                          </m:r>
                        </m:sub>
                      </m:sSub>
                    </m:den>
                  </m:f>
                </m:e>
              </m:func>
            </m:e>
          </m:nary>
        </m:oMath>
      </m:oMathPara>
    </w:p>
    <w:p>
      <w:pPr>
        <w:spacing w:before="200" w:after="40"/>
      </w:pPr>
      <w:r>
        <w:rPr>
          <w:b/>
          <w:sz w:val="22"/>
        </w:rPr>
        <w:t>Arithmetic-difference indicator</w:t>
      </w:r>
    </w:p>
    <w:p>
      <w:pPr>
        <w:spacing w:after="80"/>
      </w:pPr>
      <w:r>
        <w:rPr>
          <w:i/>
          <w:sz w:val="19"/>
        </w:rPr>
        <w:t>Used for yield-curve and spread differences</w:t>
      </w:r>
    </w:p>
    <w:p>
      <w:pPr>
        <w:spacing w:before="40" w:after="160"/>
        <w:jc w:val="center"/>
      </w:pPr>
      <m:oMathPara>
        <m:oMath>
          <m:sSub>
            <m:e>
              <m:r>
                <m:t>I</m:t>
              </m:r>
            </m:e>
            <m:sub>
              <m:r>
                <m:t>t</m:t>
              </m:r>
            </m:sub>
          </m:sSub>
          <m:r>
            <m:t>=</m:t>
          </m:r>
          <m:sSub>
            <m:e>
              <m:r>
                <m:t>a</m:t>
              </m:r>
            </m:e>
            <m:sub>
              <m:r>
                <m:t>t</m:t>
              </m:r>
            </m:sub>
          </m:sSub>
          <m:r>
            <m:t>−</m:t>
          </m:r>
          <m:sSub>
            <m:e>
              <m:r>
                <m:t>b</m:t>
              </m:r>
            </m:e>
            <m:sub>
              <m:r>
                <m:t>t</m:t>
              </m:r>
            </m:sub>
          </m:sSub>
        </m:oMath>
      </m:oMathPara>
    </w:p>
    <w:p>
      <w:pPr>
        <w:spacing w:before="200" w:after="40"/>
      </w:pPr>
      <w:r>
        <w:rPr>
          <w:b/>
          <w:sz w:val="22"/>
        </w:rPr>
        <w:t>Year-on-year transform</w:t>
      </w:r>
    </w:p>
    <w:p>
      <w:pPr>
        <w:spacing w:after="80"/>
      </w:pPr>
      <w:r>
        <w:rPr>
          <w:i/>
          <w:sz w:val="19"/>
        </w:rPr>
        <w:t>Monthly cadence YoY change</w:t>
      </w:r>
    </w:p>
    <w:p>
      <w:pPr>
        <w:spacing w:before="40" w:after="160"/>
        <w:jc w:val="center"/>
      </w:pPr>
      <m:oMathPara>
        <m:oMath>
          <m:r>
            <m:rPr>
              <m:sty m:val="p"/>
            </m:rPr>
            <m:t>YoY</m:t>
          </m:r>
          <m:d>
            <m:dPr>
              <m:begChr m:val="("/>
              <m:endChr m:val=")"/>
            </m:dPr>
            <m:e>
              <m:sSub>
                <m:e>
                  <m:r>
                    <m:t>x</m:t>
                  </m:r>
                </m:e>
                <m:sub>
                  <m:r>
                    <m:t>t</m:t>
                  </m:r>
                </m:sub>
              </m:sSub>
            </m:e>
          </m:d>
          <m:r>
            <m:t>=</m:t>
          </m:r>
          <m:f>
            <m:num>
              <m:sSub>
                <m:e>
                  <m:r>
                    <m:t>x</m:t>
                  </m:r>
                </m:e>
                <m:sub>
                  <m:r>
                    <m:t>t</m:t>
                  </m:r>
                </m:sub>
              </m:sSub>
              <m:r>
                <m:t>−</m:t>
              </m:r>
              <m:sSub>
                <m:e>
                  <m:r>
                    <m:t>x</m:t>
                  </m:r>
                </m:e>
                <m:sub>
                  <m:r>
                    <m:rPr>
                      <m:sty m:val="p"/>
                    </m:rPr>
                    <m:t>t−12</m:t>
                  </m:r>
                </m:sub>
              </m:sSub>
            </m:num>
            <m:den>
              <m:sSub>
                <m:e>
                  <m:r>
                    <m:t>x</m:t>
                  </m:r>
                </m:e>
                <m:sub>
                  <m:r>
                    <m:rPr>
                      <m:sty m:val="p"/>
                    </m:rPr>
                    <m:t>t−12</m:t>
                  </m:r>
                </m:sub>
              </m:sSub>
            </m:den>
          </m:f>
        </m:oMath>
      </m:oMathPara>
    </w:p>
    <w:p>
      <w:pPr>
        <w:spacing w:before="200" w:after="40"/>
      </w:pPr>
      <w:r>
        <w:rPr>
          <w:b/>
          <w:sz w:val="22"/>
        </w:rPr>
        <w:t>3-bucket regime classifier</w:t>
      </w:r>
    </w:p>
    <w:p>
      <w:pPr>
        <w:spacing w:after="80"/>
      </w:pPr>
      <w:r>
        <w:rPr>
          <w:i/>
          <w:sz w:val="19"/>
        </w:rPr>
        <w:t>Standard ±1σ regime helper</w:t>
      </w:r>
    </w:p>
    <w:p>
      <w:pPr>
        <w:spacing w:before="40" w:after="160"/>
        <w:jc w:val="center"/>
      </w:pPr>
      <m:oMathPara>
        <m:oMath>
          <m:r>
            <m:rPr>
              <m:sty m:val="p"/>
            </m:rPr>
            <m:t>regime</m:t>
          </m:r>
          <m:d>
            <m:dPr>
              <m:begChr m:val="("/>
              <m:endChr m:val=")"/>
            </m:dPr>
            <m:e>
              <m:r>
                <m:t>z</m:t>
              </m:r>
            </m:e>
          </m:d>
          <m:r>
            <m:t>=</m:t>
          </m:r>
          <m:d>
            <m:dPr>
              <m:begChr m:val="{"/>
              <m:endChr m:val=""/>
            </m:dPr>
            <m:e>
              <m:eqArr>
                <m:eqArrPr>
                  <m:baseJc m:val="center"/>
                </m:eqArrPr>
                <m:e>
                  <m:r>
                    <m:rPr>
                      <m:sty m:val="p"/>
                    </m:rPr>
                    <m:t>L₊</m:t>
                  </m:r>
                  <m:r>
                    <m:rPr>
                      <m:sty m:val="p"/>
                    </m:rPr>
                    <m:t>,   if z &gt; +1</m:t>
                  </m:r>
                </m:e>
                <m:e>
                  <m:r>
                    <m:rPr>
                      <m:sty m:val="p"/>
                    </m:rPr>
                    <m:t>L₀</m:t>
                  </m:r>
                  <m:r>
                    <m:rPr>
                      <m:sty m:val="p"/>
                    </m:rPr>
                    <m:t>,   if |z| ≤ 1</m:t>
                  </m:r>
                </m:e>
                <m:e>
                  <m:r>
                    <m:rPr>
                      <m:sty m:val="p"/>
                    </m:rPr>
                    <m:t>L₋</m:t>
                  </m:r>
                  <m:r>
                    <m:rPr>
                      <m:sty m:val="p"/>
                    </m:rPr>
                    <m:t>,   if z &lt; −1</m:t>
                  </m:r>
                </m:e>
              </m:eqArr>
            </m:e>
          </m:d>
        </m:oMath>
      </m:oMathPara>
    </w:p>
    <w:p>
      <w:pPr>
        <w:spacing w:before="200" w:after="40"/>
      </w:pPr>
      <w:r>
        <w:rPr>
          <w:b/>
          <w:sz w:val="22"/>
        </w:rPr>
        <w:t>Forward-regime slope</w:t>
      </w:r>
    </w:p>
    <w:p>
      <w:pPr>
        <w:spacing w:after="80"/>
      </w:pPr>
      <w:r>
        <w:rPr>
          <w:i/>
          <w:sz w:val="19"/>
        </w:rPr>
        <w:t>Eight-week z-score slope</w:t>
      </w:r>
    </w:p>
    <w:p>
      <w:pPr>
        <w:spacing w:before="40" w:after="160"/>
        <w:jc w:val="center"/>
      </w:pPr>
      <m:oMathPara>
        <m:oMath>
          <m:r>
            <m:t>β</m:t>
          </m:r>
          <m:r>
            <m:t>=</m:t>
          </m:r>
          <m:f>
            <m:num>
              <m:sSub>
                <m:e>
                  <m:r>
                    <m:t>z</m:t>
                  </m:r>
                </m:e>
                <m:sub>
                  <m:r>
                    <m:t>t</m:t>
                  </m:r>
                </m:sub>
              </m:sSub>
              <m:r>
                <m:t>−</m:t>
              </m:r>
              <m:sSub>
                <m:e>
                  <m:r>
                    <m:t>z</m:t>
                  </m:r>
                </m:e>
                <m:sub>
                  <m:r>
                    <m:rPr>
                      <m:sty m:val="p"/>
                    </m:rPr>
                    <m:t>t−8</m:t>
                  </m:r>
                </m:sub>
              </m:sSub>
            </m:num>
            <m:den>
              <m:r>
                <m:rPr>
                  <m:sty m:val="p"/>
                </m:rPr>
                <m:t>8</m:t>
              </m:r>
            </m:den>
          </m:f>
        </m:oMath>
      </m:oMathPara>
    </w:p>
    <w:p>
      <w:pPr>
        <w:spacing w:before="200" w:after="40"/>
      </w:pPr>
      <w:r>
        <w:rPr>
          <w:b/>
          <w:sz w:val="22"/>
        </w:rPr>
        <w:t>Forward-regime classification</w:t>
      </w:r>
    </w:p>
    <w:p>
      <w:pPr>
        <w:spacing w:after="80"/>
      </w:pPr>
      <w:r>
        <w:rPr>
          <w:i/>
          <w:sz w:val="19"/>
        </w:rPr>
        <w:t>Piecewise on β with ±0.15 thresholds</w:t>
      </w:r>
    </w:p>
    <w:p>
      <w:pPr>
        <w:spacing w:before="40" w:after="160"/>
        <w:jc w:val="center"/>
      </w:pPr>
      <m:oMathPara>
        <m:oMath>
          <m:r>
            <m:rPr>
              <m:sty m:val="p"/>
            </m:rPr>
            <m:t>fwd_regime</m:t>
          </m:r>
          <m:r>
            <m:t>=</m:t>
          </m:r>
          <m:d>
            <m:dPr>
              <m:begChr m:val="{"/>
              <m:endChr m:val=""/>
            </m:dPr>
            <m:e>
              <m:eqArr>
                <m:eqArrPr>
                  <m:baseJc m:val="center"/>
                </m:eqArrPr>
                <m:e>
                  <m:r>
                    <m:rPr>
                      <m:sty m:val="p"/>
                    </m:rPr>
                    <m:t>improving</m:t>
                  </m:r>
                  <m:r>
                    <m:rPr>
                      <m:sty m:val="p"/>
                    </m:rPr>
                    <m:t>,       if β &gt; +0.15</m:t>
                  </m:r>
                </m:e>
                <m:e>
                  <m:r>
                    <m:rPr>
                      <m:sty m:val="p"/>
                    </m:rPr>
                    <m:t>stable</m:t>
                  </m:r>
                  <m:r>
                    <m:rPr>
                      <m:sty m:val="p"/>
                    </m:rPr>
                    <m:t>,         if |β| ≤ 0.15</m:t>
                  </m:r>
                </m:e>
                <m:e>
                  <m:r>
                    <m:rPr>
                      <m:sty m:val="p"/>
                    </m:rPr>
                    <m:t>deteriorating</m:t>
                  </m:r>
                  <m:r>
                    <m:rPr>
                      <m:sty m:val="p"/>
                    </m:rPr>
                    <m:t>,  if β &lt; −0.15</m:t>
                  </m:r>
                </m:e>
              </m:eqArr>
            </m:e>
          </m:d>
        </m:oMath>
      </m:oMathPara>
    </w:p>
    <w:p>
      <w:pPr>
        <w:spacing w:before="200" w:after="40"/>
      </w:pPr>
      <w:r>
        <w:rPr>
          <w:b/>
          <w:sz w:val="22"/>
        </w:rPr>
        <w:t>Z-score trend — intensifying</w:t>
      </w:r>
    </w:p>
    <w:p>
      <w:pPr>
        <w:spacing w:before="40" w:after="160"/>
        <w:jc w:val="center"/>
      </w:pPr>
      <m:oMathPara>
        <m:oMath>
          <m:r>
            <m:rPr>
              <m:sty m:val="p"/>
            </m:rPr>
            <m:t>intensifying:    </m:t>
          </m:r>
          <m:d>
            <m:dPr>
              <m:begChr m:val="|"/>
              <m:endChr m:val="|"/>
            </m:dPr>
            <m:e>
              <m:sSub>
                <m:e>
                  <m:r>
                    <m:t>z</m:t>
                  </m:r>
                </m:e>
                <m:sub>
                  <m:r>
                    <m:rPr>
                      <m:sty m:val="p"/>
                    </m:rPr>
                    <m:t>t</m:t>
                  </m:r>
                </m:sub>
              </m:sSub>
            </m:e>
          </m:d>
          <m:r>
            <m:t>&gt;</m:t>
          </m:r>
          <m:d>
            <m:dPr>
              <m:begChr m:val="|"/>
              <m:endChr m:val="|"/>
            </m:dPr>
            <m:e>
              <m:sSub>
                <m:e>
                  <m:r>
                    <m:t>z</m:t>
                  </m:r>
                </m:e>
                <m:sub>
                  <m:r>
                    <m:rPr>
                      <m:sty m:val="p"/>
                    </m:rPr>
                    <m:t>t−1</m:t>
                  </m:r>
                </m:sub>
              </m:sSub>
            </m:e>
          </m:d>
          <m:r>
            <m:rPr>
              <m:sty m:val="p"/>
            </m:rPr>
            <m:t>    ∧    </m:t>
          </m:r>
          <m:d>
            <m:dPr>
              <m:begChr m:val="|"/>
              <m:endChr m:val="|"/>
            </m:dPr>
            <m:e>
              <m:sSub>
                <m:e>
                  <m:r>
                    <m:t>z</m:t>
                  </m:r>
                </m:e>
                <m:sub>
                  <m:r>
                    <m:rPr>
                      <m:sty m:val="p"/>
                    </m:rPr>
                    <m:t>t</m:t>
                  </m:r>
                </m:sub>
              </m:sSub>
            </m:e>
          </m:d>
          <m:r>
            <m:t>&gt;</m:t>
          </m:r>
          <m:d>
            <m:dPr>
              <m:begChr m:val="|"/>
              <m:endChr m:val="|"/>
            </m:dPr>
            <m:e>
              <m:sSub>
                <m:e>
                  <m:r>
                    <m:t>z</m:t>
                  </m:r>
                </m:e>
                <m:sub>
                  <m:r>
                    <m:rPr>
                      <m:sty m:val="p"/>
                    </m:rPr>
                    <m:t>t−4</m:t>
                  </m:r>
                </m:sub>
              </m:sSub>
            </m:e>
          </m:d>
          <m:r>
            <m:rPr>
              <m:sty m:val="p"/>
            </m:rPr>
            <m:t>    ∧    </m:t>
          </m:r>
          <m:d>
            <m:dPr>
              <m:begChr m:val="|"/>
              <m:endChr m:val="|"/>
            </m:dPr>
            <m:e>
              <m:sSub>
                <m:e>
                  <m:r>
                    <m:t>z</m:t>
                  </m:r>
                </m:e>
                <m:sub>
                  <m:r>
                    <m:rPr>
                      <m:sty m:val="p"/>
                    </m:rPr>
                    <m:t>t</m:t>
                  </m:r>
                </m:sub>
              </m:sSub>
            </m:e>
          </m:d>
          <m:r>
            <m:t>≥</m:t>
          </m:r>
          <m:r>
            <m:rPr>
              <m:sty m:val="p"/>
            </m:rPr>
            <m:t>0.9 ·</m:t>
          </m:r>
          <m:r>
            <m:rPr>
              <m:sty m:val="p"/>
            </m:rPr>
            <m:t>max</m:t>
          </m:r>
          <m:sSub>
            <m:e>
              <m:r>
                <m:rPr>
                  <m:sty m:val="p"/>
                </m:rPr>
                <m:t/>
              </m:r>
            </m:e>
            <m:sub>
              <m:r>
                <m:rPr>
                  <m:sty m:val="p"/>
                </m:rPr>
                <m:t>[t−13, t]</m:t>
              </m:r>
            </m:sub>
          </m:sSub>
          <m:d>
            <m:dPr>
              <m:begChr m:val="|"/>
              <m:endChr m:val="|"/>
            </m:dPr>
            <m:e>
              <m:r>
                <m:t>z</m:t>
              </m:r>
            </m:e>
          </m:d>
        </m:oMath>
      </m:oMathPara>
    </w:p>
    <w:p>
      <w:pPr>
        <w:spacing w:before="200" w:after="40"/>
      </w:pPr>
      <w:r>
        <w:rPr>
          <w:b/>
          <w:sz w:val="22"/>
        </w:rPr>
        <w:t>Z-score trend — fading</w:t>
      </w:r>
    </w:p>
    <w:p>
      <w:pPr>
        <w:spacing w:before="40" w:after="160"/>
        <w:jc w:val="center"/>
      </w:pPr>
      <m:oMathPara>
        <m:oMath>
          <m:r>
            <m:rPr>
              <m:sty m:val="p"/>
            </m:rPr>
            <m:t>fading:    </m:t>
          </m:r>
          <m:d>
            <m:dPr>
              <m:begChr m:val="|"/>
              <m:endChr m:val="|"/>
            </m:dPr>
            <m:e>
              <m:sSub>
                <m:e>
                  <m:r>
                    <m:t>z</m:t>
                  </m:r>
                </m:e>
                <m:sub>
                  <m:r>
                    <m:rPr>
                      <m:sty m:val="p"/>
                    </m:rPr>
                    <m:t>t</m:t>
                  </m:r>
                </m:sub>
              </m:sSub>
            </m:e>
          </m:d>
          <m:r>
            <m:t>&lt;</m:t>
          </m:r>
          <m:r>
            <m:rPr>
              <m:sty m:val="p"/>
            </m:rPr>
            <m:t>0.9 ·</m:t>
          </m:r>
          <m:d>
            <m:dPr>
              <m:begChr m:val="|"/>
              <m:endChr m:val="|"/>
            </m:dPr>
            <m:e>
              <m:sSub>
                <m:e>
                  <m:r>
                    <m:t>z</m:t>
                  </m:r>
                </m:e>
                <m:sub>
                  <m:r>
                    <m:rPr>
                      <m:sty m:val="p"/>
                    </m:rPr>
                    <m:t>t−4</m:t>
                  </m:r>
                </m:sub>
              </m:sSub>
            </m:e>
          </m:d>
        </m:oMath>
      </m:oMathPara>
    </w:p>
    <w:p>
      <w:pPr>
        <w:spacing w:before="200" w:after="40"/>
      </w:pPr>
      <w:r>
        <w:rPr>
          <w:b/>
          <w:sz w:val="22"/>
        </w:rPr>
        <w:t>Z-score trend — reversing</w:t>
      </w:r>
    </w:p>
    <w:p>
      <w:pPr>
        <w:spacing w:before="40" w:after="160"/>
        <w:jc w:val="center"/>
      </w:pPr>
      <m:oMathPara>
        <m:oMath>
          <m:r>
            <m:rPr>
              <m:sty m:val="p"/>
            </m:rPr>
            <m:t>reversing:    </m:t>
          </m:r>
          <m:r>
            <m:rPr>
              <m:sty m:val="p"/>
            </m:rPr>
            <m:t>sgn</m:t>
          </m:r>
          <m:d>
            <m:dPr>
              <m:begChr m:val="("/>
              <m:endChr m:val=")"/>
            </m:dPr>
            <m:e>
              <m:sSub>
                <m:e>
                  <m:r>
                    <m:t>z</m:t>
                  </m:r>
                </m:e>
                <m:sub>
                  <m:r>
                    <m:rPr>
                      <m:sty m:val="p"/>
                    </m:rPr>
                    <m:t>t</m:t>
                  </m:r>
                </m:sub>
              </m:sSub>
            </m:e>
          </m:d>
          <m:r>
            <m:t>≠</m:t>
          </m:r>
          <m:r>
            <m:rPr>
              <m:sty m:val="p"/>
            </m:rPr>
            <m:t>sgn</m:t>
          </m:r>
          <m:d>
            <m:dPr>
              <m:begChr m:val="("/>
              <m:endChr m:val=")"/>
            </m:dPr>
            <m:e>
              <m:sSub>
                <m:e>
                  <m:r>
                    <m:t>z</m:t>
                  </m:r>
                </m:e>
                <m:sub>
                  <m:r>
                    <m:rPr>
                      <m:sty m:val="p"/>
                    </m:rPr>
                    <m:t>t−4</m:t>
                  </m:r>
                </m:sub>
              </m:sSub>
            </m:e>
          </m:d>
          <m:r>
            <m:rPr>
              <m:sty m:val="p"/>
            </m:rPr>
            <m:t>    ∧    </m:t>
          </m:r>
          <m:d>
            <m:dPr>
              <m:begChr m:val="|"/>
              <m:endChr m:val="|"/>
            </m:dPr>
            <m:e>
              <m:sSub>
                <m:e>
                  <m:r>
                    <m:t>z</m:t>
                  </m:r>
                </m:e>
                <m:sub>
                  <m:r>
                    <m:rPr>
                      <m:sty m:val="p"/>
                    </m:rPr>
                    <m:t>t−4</m:t>
                  </m:r>
                </m:sub>
              </m:sSub>
            </m:e>
          </m:d>
          <m:r>
            <m:t>&gt;</m:t>
          </m:r>
          <m:r>
            <m:rPr>
              <m:sty m:val="p"/>
            </m:rPr>
            <m:t>0.5</m:t>
          </m:r>
        </m:oMath>
      </m:oMathPara>
    </w:p>
    <w:p>
      <w:pPr>
        <w:spacing w:before="200" w:after="40"/>
      </w:pPr>
      <w:r>
        <w:rPr>
          <w:b/>
          <w:sz w:val="22"/>
        </w:rPr>
        <w:t>US_G1 — XLY / XLP</w:t>
      </w:r>
    </w:p>
    <w:p>
      <w:pPr>
        <w:spacing w:after="80"/>
      </w:pPr>
      <w:r>
        <w:rPr>
          <w:i/>
          <w:sz w:val="19"/>
        </w:rPr>
        <w:t>Equity rotation worked example</w:t>
      </w:r>
    </w:p>
    <w:p>
      <w:pPr>
        <w:spacing w:before="40" w:after="160"/>
        <w:jc w:val="center"/>
      </w:pPr>
      <m:oMathPara>
        <m:oMath>
          <m:r>
            <m:t>I</m:t>
          </m:r>
          <m:r>
            <m:t>=</m:t>
          </m:r>
          <m:func>
            <m:fName>
              <m:r>
                <m:rPr>
                  <m:sty m:val="p"/>
                </m:rPr>
                <m:t>log</m:t>
              </m:r>
            </m:fName>
            <m:e>
              <m:f>
                <m:num>
                  <m:r>
                    <m:rPr>
                      <m:sty m:val="p"/>
                    </m:rPr>
                    <m:t>XLY</m:t>
                  </m:r>
                </m:num>
                <m:den>
                  <m:r>
                    <m:rPr>
                      <m:sty m:val="p"/>
                    </m:rPr>
                    <m:t>XLP</m:t>
                  </m:r>
                </m:den>
              </m:f>
            </m:e>
          </m:func>
        </m:oMath>
      </m:oMathPara>
    </w:p>
    <w:p>
      <w:pPr>
        <w:spacing w:before="200" w:after="40"/>
      </w:pPr>
      <w:r>
        <w:rPr>
          <w:b/>
          <w:sz w:val="22"/>
        </w:rPr>
        <w:t>US_G2 — (XLI+XLF) / (XLU+XLP)</w:t>
      </w:r>
    </w:p>
    <w:p>
      <w:pPr>
        <w:spacing w:after="80"/>
      </w:pPr>
      <w:r>
        <w:rPr>
          <w:i/>
          <w:sz w:val="19"/>
        </w:rPr>
        <w:t>Composite equity rotation</w:t>
      </w:r>
    </w:p>
    <w:p>
      <w:pPr>
        <w:spacing w:before="40" w:after="160"/>
        <w:jc w:val="center"/>
      </w:pPr>
      <m:oMathPara>
        <m:oMath>
          <m:r>
            <m:t>I</m:t>
          </m:r>
          <m:r>
            <m:t>=</m:t>
          </m:r>
          <m:func>
            <m:fName>
              <m:r>
                <m:rPr>
                  <m:sty m:val="p"/>
                </m:rPr>
                <m:t>log</m:t>
              </m:r>
            </m:fName>
            <m:e>
              <m:f>
                <m:num>
                  <m:r>
                    <m:rPr>
                      <m:sty m:val="p"/>
                    </m:rPr>
                    <m:t>XLI</m:t>
                  </m:r>
                  <m:r>
                    <m:t>+</m:t>
                  </m:r>
                  <m:r>
                    <m:rPr>
                      <m:sty m:val="p"/>
                    </m:rPr>
                    <m:t>XLF</m:t>
                  </m:r>
                </m:num>
                <m:den>
                  <m:r>
                    <m:rPr>
                      <m:sty m:val="p"/>
                    </m:rPr>
                    <m:t>XLU</m:t>
                  </m:r>
                  <m:r>
                    <m:t>+</m:t>
                  </m:r>
                  <m:r>
                    <m:rPr>
                      <m:sty m:val="p"/>
                    </m:rPr>
                    <m:t>XLP</m:t>
                  </m:r>
                </m:den>
              </m:f>
            </m:e>
          </m:func>
        </m:oMath>
      </m:oMathPara>
    </w:p>
    <w:p>
      <w:pPr>
        <w:spacing w:before="200" w:after="40"/>
      </w:pPr>
      <w:r>
        <w:rPr>
          <w:b/>
          <w:sz w:val="22"/>
        </w:rPr>
        <w:t>US_R1 — 10Y − 3M</w:t>
      </w:r>
    </w:p>
    <w:p>
      <w:pPr>
        <w:spacing w:after="80"/>
      </w:pPr>
      <w:r>
        <w:rPr>
          <w:i/>
          <w:sz w:val="19"/>
        </w:rPr>
        <w:t>Yield curve, raw</w:t>
      </w:r>
    </w:p>
    <w:p>
      <w:pPr>
        <w:spacing w:before="40" w:after="160"/>
        <w:jc w:val="center"/>
      </w:pPr>
      <m:oMathPara>
        <m:oMath>
          <m:r>
            <m:t>I</m:t>
          </m:r>
          <m:r>
            <m:t>=</m:t>
          </m:r>
          <m:sSub>
            <m:e>
              <m:r>
                <m:t>y</m:t>
              </m:r>
            </m:e>
            <m:sub>
              <m:r>
                <m:rPr>
                  <m:sty m:val="p"/>
                </m:rPr>
                <m:t>10Y</m:t>
              </m:r>
            </m:sub>
          </m:sSub>
          <m:r>
            <m:t>−</m:t>
          </m:r>
          <m:sSub>
            <m:e>
              <m:r>
                <m:t>y</m:t>
              </m:r>
            </m:e>
            <m:sub>
              <m:r>
                <m:rPr>
                  <m:sty m:val="p"/>
                </m:rPr>
                <m:t>3M</m:t>
              </m:r>
            </m:sub>
          </m:sSub>
        </m:oMath>
      </m:oMathPara>
    </w:p>
    <w:p>
      <w:pPr>
        <w:spacing w:before="200" w:after="40"/>
      </w:pPr>
      <w:r>
        <w:rPr>
          <w:b/>
          <w:sz w:val="22"/>
        </w:rPr>
        <w:t>US_R1 — regime (level override)</w:t>
      </w:r>
    </w:p>
    <w:p>
      <w:pPr>
        <w:spacing w:after="80"/>
      </w:pPr>
      <w:r>
        <w:rPr>
          <w:i/>
          <w:sz w:val="19"/>
        </w:rPr>
        <w:t>Yield-curve regime with inversion override</w:t>
      </w:r>
    </w:p>
    <w:p>
      <w:pPr>
        <w:spacing w:before="40" w:after="160"/>
        <w:jc w:val="center"/>
      </w:pPr>
      <m:oMathPara>
        <m:oMath>
          <m:r>
            <m:rPr>
              <m:sty m:val="p"/>
            </m:rPr>
            <m:t>regime</m:t>
          </m:r>
          <m:d>
            <m:dPr>
              <m:begChr m:val="("/>
              <m:endChr m:val=")"/>
            </m:dPr>
            <m:e>
              <m:sSub>
                <m:e>
                  <m:r>
                    <m:t>I</m:t>
                  </m:r>
                </m:e>
                <m:sub>
                  <m:r>
                    <m:t>t</m:t>
                  </m:r>
                </m:sub>
              </m:sSub>
              <m:r>
                <m:rPr>
                  <m:sty m:val="p"/>
                </m:rPr>
                <m:t>, </m:t>
              </m:r>
              <m:sSub>
                <m:e>
                  <m:r>
                    <m:t>z</m:t>
                  </m:r>
                </m:e>
                <m:sub>
                  <m:r>
                    <m:t>t</m:t>
                  </m:r>
                </m:sub>
              </m:sSub>
            </m:e>
          </m:d>
          <m:r>
            <m:t>=</m:t>
          </m:r>
          <m:d>
            <m:dPr>
              <m:begChr m:val="{"/>
              <m:endChr m:val=""/>
            </m:dPr>
            <m:e>
              <m:eqArr>
                <m:eqArrPr>
                  <m:baseJc m:val="center"/>
                </m:eqArrPr>
                <m:e>
                  <m:r>
                    <m:rPr>
                      <m:sty m:val="p"/>
                    </m:rPr>
                    <m:t>recession-watch</m:t>
                  </m:r>
                  <m:r>
                    <m:rPr>
                      <m:sty m:val="p"/>
                    </m:rPr>
                    <m:t>,   if I_t &lt; 0</m:t>
                  </m:r>
                </m:e>
                <m:e>
                  <m:r>
                    <m:rPr>
                      <m:sty m:val="p"/>
                    </m:rPr>
                    <m:t>early-cycle</m:t>
                  </m:r>
                  <m:r>
                    <m:rPr>
                      <m:sty m:val="p"/>
                    </m:rPr>
                    <m:t>,       if I_t &gt; 0   ∧   z_t &gt; +1</m:t>
                  </m:r>
                </m:e>
                <m:e>
                  <m:r>
                    <m:rPr>
                      <m:sty m:val="p"/>
                    </m:rPr>
                    <m:t>mid-cycle</m:t>
                  </m:r>
                  <m:r>
                    <m:rPr>
                      <m:sty m:val="p"/>
                    </m:rPr>
                    <m:t>,         if I_t &gt; 0   ∧   |z_t| ≤ 1</m:t>
                  </m:r>
                </m:e>
                <m:e>
                  <m:r>
                    <m:rPr>
                      <m:sty m:val="p"/>
                    </m:rPr>
                    <m:t>late-cycle</m:t>
                  </m:r>
                  <m:r>
                    <m:rPr>
                      <m:sty m:val="p"/>
                    </m:rPr>
                    <m:t>,        if I_t &gt; 0   ∧   z_t &lt; −1</m:t>
                  </m:r>
                </m:e>
              </m:eqArr>
            </m:e>
          </m:d>
        </m:oMath>
      </m:oMathPara>
    </w:p>
    <w:p>
      <w:pPr>
        <w:spacing w:before="200" w:after="40"/>
      </w:pPr>
      <w:r>
        <w:rPr>
          <w:b/>
          <w:sz w:val="22"/>
        </w:rPr>
        <w:t>US_Cr2 — 5-regime classifier</w:t>
      </w:r>
    </w:p>
    <w:p>
      <w:pPr>
        <w:spacing w:after="80"/>
      </w:pPr>
      <w:r>
        <w:rPr>
          <w:i/>
          <w:sz w:val="19"/>
        </w:rPr>
        <w:t>HY credit spread</w:t>
      </w:r>
    </w:p>
    <w:p>
      <w:pPr>
        <w:spacing w:before="40" w:after="160"/>
        <w:jc w:val="center"/>
      </w:pPr>
      <m:oMathPara>
        <m:oMath>
          <m:r>
            <m:rPr>
              <m:sty m:val="p"/>
            </m:rPr>
            <m:t>regime</m:t>
          </m:r>
          <m:r>
            <m:t>=</m:t>
          </m:r>
          <m:d>
            <m:dPr>
              <m:begChr m:val="{"/>
              <m:endChr m:val=""/>
            </m:dPr>
            <m:e>
              <m:eqArr>
                <m:eqArrPr>
                  <m:baseJc m:val="center"/>
                </m:eqArrPr>
                <m:e>
                  <m:r>
                    <m:rPr>
                      <m:sty m:val="p"/>
                    </m:rPr>
                    <m:t>opportunity</m:t>
                  </m:r>
                  <m:r>
                    <m:rPr>
                      <m:sty m:val="p"/>
                    </m:rPr>
                    <m:t>,   if HY_OAS &gt; 800   ∨   z &gt; +2</m:t>
                  </m:r>
                </m:e>
                <m:e>
                  <m:r>
                    <m:rPr>
                      <m:sty m:val="p"/>
                    </m:rPr>
                    <m:t>stress</m:t>
                  </m:r>
                  <m:r>
                    <m:rPr>
                      <m:sty m:val="p"/>
                    </m:rPr>
                    <m:t>,            if HY_OAS &gt; 500   ∧   z &gt; +1</m:t>
                  </m:r>
                </m:e>
                <m:e>
                  <m:r>
                    <m:rPr>
                      <m:sty m:val="p"/>
                    </m:rPr>
                    <m:t>normal</m:t>
                  </m:r>
                  <m:r>
                    <m:rPr>
                      <m:sty m:val="p"/>
                    </m:rPr>
                    <m:t>,          if 400 ≤ HY_OAS ≤ 600   ∧   |z| &lt; 1</m:t>
                  </m:r>
                </m:e>
                <m:e>
                  <m:r>
                    <m:rPr>
                      <m:sty m:val="p"/>
                    </m:rPr>
                    <m:t>complacent</m:t>
                  </m:r>
                  <m:r>
                    <m:rPr>
                      <m:sty m:val="p"/>
                    </m:rPr>
                    <m:t>,   if HY_OAS &lt; 400   ∧   z &lt; −0.5</m:t>
                  </m:r>
                </m:e>
                <m:e>
                  <m:r>
                    <m:rPr>
                      <m:sty m:val="p"/>
                    </m:rPr>
                    <m:t>frothy</m:t>
                  </m:r>
                  <m:r>
                    <m:rPr>
                      <m:sty m:val="p"/>
                    </m:rPr>
                    <m:t>,            if HY_OAS &lt; 300   ∧   z &lt; −1</m:t>
                  </m:r>
                </m:e>
              </m:eqArr>
            </m:e>
          </m:d>
        </m:oMath>
      </m:oMathPara>
    </w:p>
    <w:p>
      <w:pPr>
        <w:spacing w:before="200" w:after="40"/>
      </w:pPr>
      <w:r>
        <w:rPr>
          <w:b/>
          <w:sz w:val="22"/>
        </w:rPr>
        <w:t>US_V1 — VIX3M − VIX</w:t>
      </w:r>
    </w:p>
    <w:p>
      <w:pPr>
        <w:spacing w:after="80"/>
      </w:pPr>
      <w:r>
        <w:rPr>
          <w:i/>
          <w:sz w:val="19"/>
        </w:rPr>
        <w:t>Volatility term structure</w:t>
      </w:r>
    </w:p>
    <w:p>
      <w:pPr>
        <w:spacing w:before="40" w:after="160"/>
        <w:jc w:val="center"/>
      </w:pPr>
      <m:oMathPara>
        <m:oMath>
          <m:r>
            <m:t>I</m:t>
          </m:r>
          <m:r>
            <m:t>=</m:t>
          </m:r>
          <m:r>
            <m:rPr>
              <m:sty m:val="p"/>
            </m:rPr>
            <m:t>VIX3M</m:t>
          </m:r>
          <m:r>
            <m:t>−</m:t>
          </m:r>
          <m:r>
            <m:rPr>
              <m:sty m:val="p"/>
            </m:rPr>
            <m:t>VIX</m:t>
          </m:r>
        </m:oMath>
      </m:oMathPara>
    </w:p>
    <w:p>
      <w:pPr>
        <w:spacing w:before="200" w:after="40"/>
      </w:pPr>
      <w:r>
        <w:rPr>
          <w:b/>
          <w:sz w:val="22"/>
        </w:rPr>
        <w:t>FX_CMD1 — log(copper / gold)</w:t>
      </w:r>
    </w:p>
    <w:p>
      <w:pPr>
        <w:spacing w:after="80"/>
      </w:pPr>
      <w:r>
        <w:rPr>
          <w:i/>
          <w:sz w:val="19"/>
        </w:rPr>
        <w:t>Cross-asset growth proxy</w:t>
      </w:r>
    </w:p>
    <w:p>
      <w:pPr>
        <w:spacing w:before="40" w:after="160"/>
        <w:jc w:val="center"/>
      </w:pPr>
      <m:oMathPara>
        <m:oMath>
          <m:r>
            <m:t>I</m:t>
          </m:r>
          <m:r>
            <m:t>=</m:t>
          </m:r>
          <m:func>
            <m:fName>
              <m:r>
                <m:rPr>
                  <m:sty m:val="p"/>
                </m:rPr>
                <m:t>log</m:t>
              </m:r>
            </m:fName>
            <m:e>
              <m:f>
                <m:num>
                  <m:r>
                    <m:rPr>
                      <m:sty m:val="p"/>
                    </m:rPr>
                    <m:t>copper</m:t>
                  </m:r>
                </m:num>
                <m:den>
                  <m:r>
                    <m:rPr>
                      <m:sty m:val="p"/>
                    </m:rPr>
                    <m:t>gold</m:t>
                  </m:r>
                </m:den>
              </m:f>
            </m:e>
          </m:func>
        </m:oMath>
      </m:oMathPara>
    </w:p>
    <w:p>
      <w:pPr>
        <w:spacing w:before="200" w:after="40"/>
      </w:pPr>
      <w:r>
        <w:rPr>
          <w:b/>
          <w:sz w:val="22"/>
        </w:rPr>
        <w:t>GL_PMI1 — equal-weight PMI z-mean</w:t>
      </w:r>
    </w:p>
    <w:p>
      <w:pPr>
        <w:spacing w:after="80"/>
      </w:pPr>
      <w:r>
        <w:rPr>
          <w:i/>
          <w:sz w:val="19"/>
        </w:rPr>
        <w:t>Survey-derived composite</w:t>
      </w:r>
    </w:p>
    <w:p>
      <w:pPr>
        <w:spacing w:before="40" w:after="160"/>
        <w:jc w:val="center"/>
      </w:pPr>
      <m:oMathPara>
        <m:oMath>
          <m:r>
            <m:t>I</m:t>
          </m:r>
          <m:r>
            <m:t>=</m:t>
          </m:r>
          <m:f>
            <m:num>
              <m:r>
                <m:rPr>
                  <m:sty m:val="p"/>
                </m:rPr>
                <m:t>1</m:t>
              </m:r>
            </m:num>
            <m:den>
              <m:r>
                <m:t>n</m:t>
              </m:r>
            </m:den>
          </m:f>
          <m:nary>
            <m:naryPr>
              <m:chr m:val="∑"/>
              <m:limLoc m:val="undOvr"/>
            </m:naryPr>
            <m:sub>
              <m:r>
                <m:rPr>
                  <m:sty m:val="p"/>
                </m:rPr>
                <m:t>i=1</m:t>
              </m:r>
            </m:sub>
            <m:sup>
              <m:r>
                <m:t>n</m:t>
              </m:r>
            </m:sup>
            <m:e>
              <m:sSub>
                <m:e>
                  <m:r>
                    <m:t>z</m:t>
                  </m:r>
                </m:e>
                <m:sub>
                  <m:r>
                    <m:t>i</m:t>
                  </m:r>
                </m:sub>
              </m:sSub>
            </m:e>
          </m:nary>
        </m:oMath>
      </m:oMathPara>
    </w:p>
    <w:p>
      <w:pPr>
        <w:spacing w:before="200" w:after="40"/>
      </w:pPr>
      <w:r>
        <w:rPr>
          <w:b/>
          <w:sz w:val="22"/>
        </w:rPr>
        <w:t>Staleness age</w:t>
      </w:r>
    </w:p>
    <w:p>
      <w:pPr>
        <w:spacing w:after="80"/>
      </w:pPr>
      <w:r>
        <w:rPr>
          <w:i/>
          <w:sz w:val="19"/>
        </w:rPr>
        <w:t>Audit Section C metric</w:t>
      </w:r>
    </w:p>
    <w:p>
      <w:pPr>
        <w:spacing w:before="40" w:after="160"/>
        <w:jc w:val="center"/>
      </w:pPr>
      <m:oMathPara>
        <m:oMath>
          <m:r>
            <m:rPr>
              <m:sty m:val="p"/>
            </m:rPr>
            <m:t>age</m:t>
          </m:r>
          <m:d>
            <m:dPr>
              <m:begChr m:val="("/>
              <m:endChr m:val=")"/>
            </m:dPr>
            <m:e>
              <m:r>
                <m:t>s</m:t>
              </m:r>
            </m:e>
          </m:d>
          <m:r>
            <m:t>=</m:t>
          </m:r>
          <m:sSub>
            <m:e>
              <m:r>
                <m:t>t</m:t>
              </m:r>
            </m:e>
            <m:sub>
              <m:r>
                <m:rPr>
                  <m:sty m:val="p"/>
                </m:rPr>
                <m:t>now</m:t>
              </m:r>
            </m:sub>
          </m:sSub>
          <m:r>
            <m:t>−</m:t>
          </m:r>
          <m:sSub>
            <m:e>
              <m:r>
                <m:t>t</m:t>
              </m:r>
            </m:e>
            <m:sub>
              <m:r>
                <m:rPr>
                  <m:sty m:val="p"/>
                </m:rPr>
                <m:t>change</m:t>
              </m:r>
            </m:sub>
          </m:sSub>
          <m:d>
            <m:dPr>
              <m:begChr m:val="("/>
              <m:endChr m:val=")"/>
            </m:dPr>
            <m:e>
              <m:r>
                <m:t>s</m:t>
              </m:r>
            </m:e>
          </m:d>
        </m:oMath>
      </m:oMathPara>
    </w:p>
    <w:p>
      <w:pPr>
        <w:spacing w:before="200" w:after="40"/>
      </w:pPr>
      <w:r>
        <w:rPr>
          <w:b/>
          <w:sz w:val="22"/>
        </w:rPr>
        <w:t>Staleness band classification</w:t>
      </w:r>
    </w:p>
    <w:p>
      <w:pPr>
        <w:spacing w:after="80"/>
      </w:pPr>
      <w:r>
        <w:rPr>
          <w:i/>
          <w:sz w:val="19"/>
        </w:rPr>
        <w:t>FRESH / STALE / EXPIRED thresholds</w:t>
      </w:r>
    </w:p>
    <w:p>
      <w:pPr>
        <w:spacing w:before="40" w:after="160"/>
        <w:jc w:val="center"/>
      </w:pPr>
      <m:oMathPara>
        <m:oMath>
          <m:r>
            <m:rPr>
              <m:sty m:val="p"/>
            </m:rPr>
            <m:t>classify</m:t>
          </m:r>
          <m:d>
            <m:dPr>
              <m:begChr m:val="("/>
              <m:endChr m:val=")"/>
            </m:dPr>
            <m:e>
              <m:r>
                <m:rPr>
                  <m:sty m:val="p"/>
                </m:rPr>
                <m:t>age</m:t>
              </m:r>
            </m:e>
          </m:d>
          <m:r>
            <m:t>=</m:t>
          </m:r>
          <m:d>
            <m:dPr>
              <m:begChr m:val="{"/>
              <m:endChr m:val=""/>
            </m:dPr>
            <m:e>
              <m:eqArr>
                <m:eqArrPr>
                  <m:baseJc m:val="center"/>
                </m:eqArrPr>
                <m:e>
                  <m:r>
                    <m:rPr>
                      <m:sty m:val="p"/>
                    </m:rPr>
                    <m:t>FRESH</m:t>
                  </m:r>
                  <m:r>
                    <m:rPr>
                      <m:sty m:val="p"/>
                    </m:rPr>
                    <m:t>,         if age ≤ T</m:t>
                  </m:r>
                </m:e>
                <m:e>
                  <m:r>
                    <m:rPr>
                      <m:sty m:val="p"/>
                    </m:rPr>
                    <m:t>STALE</m:t>
                  </m:r>
                  <m:r>
                    <m:rPr>
                      <m:sty m:val="p"/>
                    </m:rPr>
                    <m:t>,         if T &lt; age ≤ 2T</m:t>
                  </m:r>
                </m:e>
                <m:e>
                  <m:r>
                    <m:rPr>
                      <m:sty m:val="p"/>
                    </m:rPr>
                    <m:t>EXPIRED</m:t>
                  </m:r>
                  <m:r>
                    <m:rPr>
                      <m:sty m:val="p"/>
                    </m:rPr>
                    <m:t>,   if age &gt; 2T</m:t>
                  </m:r>
                </m:e>
              </m:eqArr>
            </m:e>
          </m:d>
        </m:oMath>
      </m:oMathPara>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