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Macro-Market Indicator Cheat Sheet</w:t>
      </w:r>
    </w:p>
    <w:p>
      <w:pPr/>
      <w:r/>
      <w:r>
        <w:rPr>
          <w:b/>
        </w:rPr>
        <w:t>68 indicators | 156-week (3-year) rolling z-score | CSV-driven architecture</w:t>
      </w:r>
      <w:r/>
    </w:p>
    <w:p>
      <w:pPr/>
      <w:r/>
      <w:r>
        <w:rPr>
          <w:b/>
        </w:rPr>
        <w:t>Date: 2026-04-08</w:t>
      </w:r>
      <w:r/>
    </w:p>
    <w:p>
      <w:pPr/>
      <w:r>
        <w:t xml:space="preserve">This cheat sheet is a quick-reference companion to the full </w:t>
      </w:r>
      <w:r>
        <w:rPr>
          <w:i/>
        </w:rPr>
        <w:t>Indicator Manual</w:t>
      </w:r>
      <w:r>
        <w:t>. It covers every indicator's regime rules, threshold logic, and narrative themes — designed to support blog idea generation, regime commentary, and snapshot interpretation at a glance.</w:t>
      </w:r>
    </w:p>
    <w:p>
      <w:pPr>
        <w:pStyle w:val="Heading1"/>
      </w:pPr>
      <w:r>
        <w:t>How to Read This Document</w:t>
      </w:r>
    </w:p>
    <w:p>
      <w:pPr>
        <w:pStyle w:val="ListBullet"/>
      </w:pPr>
      <w:r/>
      <w:r>
        <w:rPr>
          <w:b/>
        </w:rPr>
        <w:t>Standard regime</w:t>
      </w:r>
      <w:r>
        <w:t>: z &gt; +1 / -1 to +1 / z &lt; -1 (most indicators)</w:t>
      </w:r>
    </w:p>
    <w:p>
      <w:pPr>
        <w:pStyle w:val="ListBullet"/>
      </w:pPr>
      <w:r/>
      <w:r>
        <w:rPr>
          <w:b/>
        </w:rPr>
        <w:t>Non-standard</w:t>
      </w:r>
      <w:r>
        <w:t>: marked with a dagger (</w:t>
      </w:r>
      <w:r>
        <w:rPr>
          <w:b/>
        </w:rPr>
        <w:t>+</w:t>
      </w:r>
      <w:r>
        <w:t>) — uses absolute levels, asymmetric thresholds, or fraction-based logic</w:t>
      </w:r>
    </w:p>
    <w:p>
      <w:pPr>
        <w:pStyle w:val="ListBullet"/>
      </w:pPr>
      <w:r/>
      <w:r>
        <w:rPr>
          <w:b/>
        </w:rPr>
        <w:t>Forward regime</w:t>
      </w:r>
      <w:r>
        <w:t xml:space="preserve">: </w:t>
      </w:r>
      <w:r>
        <w:rPr>
          <w:rFonts w:ascii="Consolas" w:hAnsi="Consolas"/>
          <w:color w:val="8B0000"/>
          <w:sz w:val="16"/>
        </w:rPr>
        <w:t>improving</w:t>
      </w:r>
      <w:r>
        <w:t xml:space="preserve"> / </w:t>
      </w:r>
      <w:r>
        <w:rPr>
          <w:rFonts w:ascii="Consolas" w:hAnsi="Consolas"/>
          <w:color w:val="8B0000"/>
          <w:sz w:val="16"/>
        </w:rPr>
        <w:t>stable</w:t>
      </w:r>
      <w:r>
        <w:t xml:space="preserve"> / </w:t>
      </w:r>
      <w:r>
        <w:rPr>
          <w:rFonts w:ascii="Consolas" w:hAnsi="Consolas"/>
          <w:color w:val="8B0000"/>
          <w:sz w:val="16"/>
        </w:rPr>
        <w:t>deteriorating</w:t>
      </w:r>
      <w:r>
        <w:t xml:space="preserve">, with </w:t>
      </w:r>
      <w:r>
        <w:rPr>
          <w:rFonts w:ascii="Consolas" w:hAnsi="Consolas"/>
          <w:color w:val="8B0000"/>
          <w:sz w:val="16"/>
        </w:rPr>
        <w:t>[leading]</w:t>
      </w:r>
      <w:r>
        <w:t xml:space="preserve"> suffix for naturally leading indicators</w:t>
      </w:r>
    </w:p>
    <w:p>
      <w:pPr>
        <w:pStyle w:val="ListBullet"/>
      </w:pPr>
      <w:r/>
      <w:r>
        <w:rPr>
          <w:b/>
        </w:rPr>
        <w:t>Narrative themes</w:t>
      </w:r>
      <w:r>
        <w:t>: short phrases for blog/commentary framing when the indicator is in an extreme regime</w:t>
      </w:r>
    </w:p>
    <w:p>
      <w:pPr>
        <w:pStyle w:val="Heading1"/>
      </w:pPr>
      <w:r>
        <w:t>1. US Equity — Growth &amp; Style (9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1704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1704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Positive Label</w:t>
            </w:r>
          </w:p>
        </w:tc>
        <w:tc>
          <w:tcPr>
            <w:tcW w:type="dxa" w:w="1704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Neutral</w:t>
            </w:r>
          </w:p>
        </w:tc>
        <w:tc>
          <w:tcPr>
            <w:tcW w:type="dxa" w:w="1704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Negative Label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US_G1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Cyclicals vs Defensives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`pro-growth`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`neutral`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`defensive`</w:t>
            </w:r>
          </w:p>
        </w:tc>
      </w:tr>
      <w:tr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US_G2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Broader Cyclicals vs Defensives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`risk-on`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`neutral`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`late-cycle`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US_G3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Banks vs Utilities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`risk-on`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`neutral`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`defensive`</w:t>
            </w:r>
          </w:p>
        </w:tc>
      </w:tr>
      <w:tr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US_G4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Market Breadth (RSP/SPY)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`broad-rally`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`neutral`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`narrow-concentrated`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US_G5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Technology Leadership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`tech-led`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`neutral`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`defensive-rotation`</w:t>
            </w:r>
          </w:p>
        </w:tc>
      </w:tr>
      <w:tr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US_EQ_F1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Value vs Growth (Russell)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`value-regime`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`mixed`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`growth-regime`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US_EQ_F2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Value vs Growth (S&amp;P)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*mirrors US_EQ_F1*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</w:r>
          </w:p>
        </w:tc>
        <w:tc>
          <w:tcPr>
            <w:tcW w:type="dxa" w:w="1704"/>
          </w:tcPr>
          <w:p>
            <w:r>
              <w:rPr>
                <w:sz w:val="16"/>
              </w:rPr>
            </w:r>
          </w:p>
        </w:tc>
        <w:tc>
          <w:tcPr>
            <w:tcW w:type="dxa" w:w="170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US_EQ_F3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Size Cycle (Russell)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`small-cap-lead`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`neutral`</w:t>
            </w:r>
          </w:p>
        </w:tc>
        <w:tc>
          <w:tcPr>
            <w:tcW w:type="dxa" w:w="1704"/>
            <w:shd w:fill="D6E4F0" w:val="clear"/>
          </w:tcPr>
          <w:p>
            <w:r>
              <w:rPr>
                <w:sz w:val="16"/>
              </w:rPr>
              <w:t>`large-cap-safety`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US_EQ_F4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Size Cycle (S&amp;P)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*mirrors US_EQ_F3*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</w:r>
          </w:p>
        </w:tc>
        <w:tc>
          <w:tcPr>
            <w:tcW w:type="dxa" w:w="1704"/>
          </w:tcPr>
          <w:p>
            <w:r>
              <w:rPr>
                <w:sz w:val="16"/>
              </w:rPr>
            </w:r>
          </w:p>
        </w:tc>
        <w:tc>
          <w:tcPr>
            <w:tcW w:type="dxa" w:w="1704"/>
          </w:tcPr>
          <w:p>
            <w:r>
              <w:rPr>
                <w:sz w:val="16"/>
              </w:rPr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Growth rotation</w:t>
      </w:r>
      <w:r>
        <w:t xml:space="preserve">: US_G1 + US_G2 both </w:t>
      </w:r>
      <w:r>
        <w:rPr>
          <w:rFonts w:ascii="Consolas" w:hAnsi="Consolas"/>
          <w:color w:val="8B0000"/>
          <w:sz w:val="16"/>
        </w:rPr>
        <w:t>pro-growth</w:t>
      </w:r>
      <w:r>
        <w:t xml:space="preserve"> / </w:t>
      </w:r>
      <w:r>
        <w:rPr>
          <w:rFonts w:ascii="Consolas" w:hAnsi="Consolas"/>
          <w:color w:val="8B0000"/>
          <w:sz w:val="16"/>
        </w:rPr>
        <w:t>risk-on</w:t>
      </w:r>
      <w:r>
        <w:t xml:space="preserve"> = broad cyclical recovery; strongest signal when combined with steepening yield curve (US_R1)</w:t>
      </w:r>
    </w:p>
    <w:p>
      <w:pPr>
        <w:pStyle w:val="ListBullet"/>
      </w:pPr>
      <w:r/>
      <w:r>
        <w:rPr>
          <w:i/>
        </w:rPr>
        <w:t>Narrow market</w:t>
      </w:r>
      <w:r>
        <w:t xml:space="preserve">: US_G4 </w:t>
      </w:r>
      <w:r>
        <w:rPr>
          <w:rFonts w:ascii="Consolas" w:hAnsi="Consolas"/>
          <w:color w:val="8B0000"/>
          <w:sz w:val="16"/>
        </w:rPr>
        <w:t>narrow-concentrated</w:t>
      </w:r>
      <w:r>
        <w:t xml:space="preserve"> + US_G5 </w:t>
      </w:r>
      <w:r>
        <w:rPr>
          <w:rFonts w:ascii="Consolas" w:hAnsi="Consolas"/>
          <w:color w:val="8B0000"/>
          <w:sz w:val="16"/>
        </w:rPr>
        <w:t>tech-led</w:t>
      </w:r>
      <w:r>
        <w:t xml:space="preserve"> = mega-cap tech carrying the market; fragile if rates rise</w:t>
      </w:r>
    </w:p>
    <w:p>
      <w:pPr>
        <w:pStyle w:val="ListBullet"/>
      </w:pPr>
      <w:r/>
      <w:r>
        <w:rPr>
          <w:i/>
        </w:rPr>
        <w:t>Value revival</w:t>
      </w:r>
      <w:r>
        <w:t xml:space="preserve">: US_EQ_F1 </w:t>
      </w:r>
      <w:r>
        <w:rPr>
          <w:rFonts w:ascii="Consolas" w:hAnsi="Consolas"/>
          <w:color w:val="8B0000"/>
          <w:sz w:val="16"/>
        </w:rPr>
        <w:t>value-regime</w:t>
      </w:r>
      <w:r>
        <w:t xml:space="preserve"> + US_G3 </w:t>
      </w:r>
      <w:r>
        <w:rPr>
          <w:rFonts w:ascii="Consolas" w:hAnsi="Consolas"/>
          <w:color w:val="8B0000"/>
          <w:sz w:val="16"/>
        </w:rPr>
        <w:t>risk-on</w:t>
      </w:r>
      <w:r>
        <w:t xml:space="preserve"> (banks leading) = interest-rate-sensitive value rotation; typical in early/mid cycle</w:t>
      </w:r>
    </w:p>
    <w:p>
      <w:pPr>
        <w:pStyle w:val="ListBullet"/>
      </w:pPr>
      <w:r/>
      <w:r>
        <w:rPr>
          <w:i/>
        </w:rPr>
        <w:t>Defensive tilt</w:t>
      </w:r>
      <w:r>
        <w:t xml:space="preserve">: US_G1 </w:t>
      </w:r>
      <w:r>
        <w:rPr>
          <w:rFonts w:ascii="Consolas" w:hAnsi="Consolas"/>
          <w:color w:val="8B0000"/>
          <w:sz w:val="16"/>
        </w:rPr>
        <w:t>defensive</w:t>
      </w:r>
      <w:r>
        <w:t xml:space="preserve"> + US_G5 </w:t>
      </w:r>
      <w:r>
        <w:rPr>
          <w:rFonts w:ascii="Consolas" w:hAnsi="Consolas"/>
          <w:color w:val="8B0000"/>
          <w:sz w:val="16"/>
        </w:rPr>
        <w:t>defensive-rotation</w:t>
      </w:r>
      <w:r>
        <w:t xml:space="preserve"> = late-cycle or recession-positioning; check credit (US_Cr2) for confirmation</w:t>
      </w:r>
    </w:p>
    <w:p>
      <w:pPr>
        <w:pStyle w:val="Heading1"/>
      </w:pPr>
      <w:r>
        <w:t>2a. US Rates, Credit &amp; Volatility (14 indicators)</w:t>
      </w:r>
    </w:p>
    <w:p>
      <w:pPr>
        <w:pStyle w:val="Heading2"/>
      </w:pPr>
      <w:r>
        <w:t>Rates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US_R1 **+**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Yield Curve 10Y-3M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Spread &lt; 0: `recession-watch`; &gt; 0 &amp; z &gt; +1: `early-cycle`; &gt; 0 &amp;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US_R2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Yield Curve 2s10s (FRED)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*mirrors US_R1 interpretation*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US_R3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Yield Curve 2s10s (Market)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*mirrors US_R1 interpretation*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US_R4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10Y Breakeven Inflation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`inflation-elevated` / `neutral` / `disinflation`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US_R5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Real Rates (TIPS 10Y)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`high-real-rates` / `normal` / `low-real-rates`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US_R6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Mortgage Credit Spread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`mortgage-stress` / `normal` / `mortgage-easing`</w:t>
            </w:r>
          </w:p>
        </w:tc>
      </w:tr>
    </w:tbl>
    <w:p/>
    <w:p>
      <w:pPr>
        <w:pStyle w:val="Heading2"/>
      </w:pPr>
      <w:r>
        <w:t>Credit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US_Cr2 **+**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HY Credit Spread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&gt;800bps or z&gt;+2: `opportunity`; &gt;500bps &amp; z&gt;+1: `stress`; 400-600 &amp;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US_Cr1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IG Credit Spread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`ig-stress` / `normal` / `ig-compressed`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US_Cr3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HY-IG Differential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`credit-stress` / `normal` / `credit-compressed`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US_Cr4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HY vs Treasuries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`hy-risk-on` / `neutral` / `hy-risk-off`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GL_CA_I1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Commodities vs Bonds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`reflation` / `balanced` / `deflation-scare`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US_CA_G1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Risk-On vs Risk-Off (SPY/GOVT)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`risk-on` / `neutral` / `risk-off`</w:t>
            </w:r>
          </w:p>
        </w:tc>
      </w:tr>
    </w:tbl>
    <w:p/>
    <w:p>
      <w:pPr>
        <w:pStyle w:val="Heading2"/>
      </w:pPr>
      <w:r>
        <w:t>Volatility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US_V1 **+**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VIX Term Structure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VIX3M - VIX &lt; 0: `stress`; &gt; 0 &amp; z &lt; -1: `complacency`; &gt; 0 &amp;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US_V2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MOVE/VIX Ratio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`rates-vol-elevated` / `normal` / `equity-vol-elevated`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Yield curve inversion alert</w:t>
      </w:r>
      <w:r>
        <w:t xml:space="preserve">: US_R1 </w:t>
      </w:r>
      <w:r>
        <w:rPr>
          <w:rFonts w:ascii="Consolas" w:hAnsi="Consolas"/>
          <w:color w:val="8B0000"/>
          <w:sz w:val="16"/>
        </w:rPr>
        <w:t>recession-watch</w:t>
      </w:r>
      <w:r>
        <w:t xml:space="preserve"> = the single most historically reliable recession predictor; strongest when sustained &gt; 3 months</w:t>
      </w:r>
    </w:p>
    <w:p>
      <w:pPr>
        <w:pStyle w:val="ListBullet"/>
      </w:pPr>
      <w:r/>
      <w:r>
        <w:rPr>
          <w:i/>
        </w:rPr>
        <w:t>Credit stress cascade</w:t>
      </w:r>
      <w:r>
        <w:t xml:space="preserve">: US_Cr2 </w:t>
      </w:r>
      <w:r>
        <w:rPr>
          <w:rFonts w:ascii="Consolas" w:hAnsi="Consolas"/>
          <w:color w:val="8B0000"/>
          <w:sz w:val="16"/>
        </w:rPr>
        <w:t>stress</w:t>
      </w:r>
      <w:r>
        <w:t xml:space="preserve"> + US_V1 </w:t>
      </w:r>
      <w:r>
        <w:rPr>
          <w:rFonts w:ascii="Consolas" w:hAnsi="Consolas"/>
          <w:color w:val="8B0000"/>
          <w:sz w:val="16"/>
        </w:rPr>
        <w:t>stress</w:t>
      </w:r>
      <w:r>
        <w:t xml:space="preserve"> (inverted vol curve) = active deleveraging; watch FX_2 (carry unwind) for global transmission</w:t>
      </w:r>
    </w:p>
    <w:p>
      <w:pPr>
        <w:pStyle w:val="ListBullet"/>
      </w:pPr>
      <w:r/>
      <w:r>
        <w:rPr>
          <w:i/>
        </w:rPr>
        <w:t>5-regime HY framework</w:t>
      </w:r>
      <w:r>
        <w:t xml:space="preserve">: US_Cr2 at </w:t>
      </w:r>
      <w:r>
        <w:rPr>
          <w:rFonts w:ascii="Consolas" w:hAnsi="Consolas"/>
          <w:color w:val="8B0000"/>
          <w:sz w:val="16"/>
        </w:rPr>
        <w:t>opportunity</w:t>
      </w:r>
      <w:r>
        <w:t xml:space="preserve"> (&gt;800bps) is historically the highest-conviction entry point for credit; </w:t>
      </w:r>
      <w:r>
        <w:rPr>
          <w:rFonts w:ascii="Consolas" w:hAnsi="Consolas"/>
          <w:color w:val="8B0000"/>
          <w:sz w:val="16"/>
        </w:rPr>
        <w:t>frothy</w:t>
      </w:r>
      <w:r>
        <w:t xml:space="preserve"> (&lt;300bps) is the highest-risk exit signal</w:t>
      </w:r>
    </w:p>
    <w:p>
      <w:pPr>
        <w:pStyle w:val="ListBullet"/>
      </w:pPr>
      <w:r/>
      <w:r>
        <w:rPr>
          <w:i/>
        </w:rPr>
        <w:t>Reflation trade</w:t>
      </w:r>
      <w:r>
        <w:t xml:space="preserve">: GL_CA_I1 </w:t>
      </w:r>
      <w:r>
        <w:rPr>
          <w:rFonts w:ascii="Consolas" w:hAnsi="Consolas"/>
          <w:color w:val="8B0000"/>
          <w:sz w:val="16"/>
        </w:rPr>
        <w:t>reflation</w:t>
      </w:r>
      <w:r>
        <w:t xml:space="preserve"> + US_R4 </w:t>
      </w:r>
      <w:r>
        <w:rPr>
          <w:rFonts w:ascii="Consolas" w:hAnsi="Consolas"/>
          <w:color w:val="8B0000"/>
          <w:sz w:val="16"/>
        </w:rPr>
        <w:t>inflation-elevated</w:t>
      </w:r>
      <w:r>
        <w:t xml:space="preserve"> + US_R5 </w:t>
      </w:r>
      <w:r>
        <w:rPr>
          <w:rFonts w:ascii="Consolas" w:hAnsi="Consolas"/>
          <w:color w:val="8B0000"/>
          <w:sz w:val="16"/>
        </w:rPr>
        <w:t>low-real-rates</w:t>
      </w:r>
      <w:r>
        <w:t xml:space="preserve"> = commodity/inflation-linked positioning; negative for long-duration bonds</w:t>
      </w:r>
    </w:p>
    <w:p>
      <w:pPr>
        <w:pStyle w:val="ListBullet"/>
      </w:pPr>
      <w:r/>
      <w:r>
        <w:rPr>
          <w:i/>
        </w:rPr>
        <w:t>Vol divergence</w:t>
      </w:r>
      <w:r>
        <w:t>: US_V2 extreme = rates and equity vol decoupled; if MOVE elevated but VIX compressed, bond market is pricing risk that equity market is ignoring</w:t>
      </w:r>
    </w:p>
    <w:p>
      <w:pPr>
        <w:pStyle w:val="Heading1"/>
      </w:pPr>
      <w:r>
        <w:t>2b. US Dollar, Commodities &amp; Momentum (7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FX_CMD2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Dollar vs EM &amp; Commodities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`weak-USD` / `neutral` / `strong-USD`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FX_CMD1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Copper / Gold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`pro-growth` / `neutral` / `growth-scare`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M1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 Equity Trend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log ratio &gt; 0 / &lt; 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`trend-up` / `trend-down`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M2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Multi-Asset Trend Breadth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&gt;= 0.6 / 0.4-0.6 / &lt;= 0.4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`risk-on` / `mixed` / `risk-off`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M3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Dual Momentum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Rule-based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`US-equity-regime` / `global-equity-regime` / `bond-regime`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M4 **+**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HY Trend + Spread Override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log &gt; 0 AND OAS &lt;= 600: `carry-regime`; else: `stress-regime`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Level override at 600bps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M5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VIX Regime Filter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log ratio &lt; 0 / &gt; 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`vol-compressing` / `vol-expanding`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King Dollar</w:t>
      </w:r>
      <w:r>
        <w:t xml:space="preserve">: FX_CMD2 </w:t>
      </w:r>
      <w:r>
        <w:rPr>
          <w:rFonts w:ascii="Consolas" w:hAnsi="Consolas"/>
          <w:color w:val="8B0000"/>
          <w:sz w:val="16"/>
        </w:rPr>
        <w:t>strong-USD</w:t>
      </w:r>
      <w:r>
        <w:t xml:space="preserve"> = headwind for EM, commodities, and multinational earnings; typically aligns with Fed hawkishness</w:t>
      </w:r>
    </w:p>
    <w:p>
      <w:pPr>
        <w:pStyle w:val="ListBullet"/>
      </w:pPr>
      <w:r/>
      <w:r>
        <w:rPr>
          <w:i/>
        </w:rPr>
        <w:t>Global growth conviction</w:t>
      </w:r>
      <w:r>
        <w:t xml:space="preserve">: FX_CMD1 </w:t>
      </w:r>
      <w:r>
        <w:rPr>
          <w:rFonts w:ascii="Consolas" w:hAnsi="Consolas"/>
          <w:color w:val="8B0000"/>
          <w:sz w:val="16"/>
        </w:rPr>
        <w:t>pro-growth</w:t>
      </w:r>
      <w:r>
        <w:t xml:space="preserve"> + M2 </w:t>
      </w:r>
      <w:r>
        <w:rPr>
          <w:rFonts w:ascii="Consolas" w:hAnsi="Consolas"/>
          <w:color w:val="8B0000"/>
          <w:sz w:val="16"/>
        </w:rPr>
        <w:t>risk-on</w:t>
      </w:r>
      <w:r>
        <w:t xml:space="preserve"> + M1 </w:t>
      </w:r>
      <w:r>
        <w:rPr>
          <w:rFonts w:ascii="Consolas" w:hAnsi="Consolas"/>
          <w:color w:val="8B0000"/>
          <w:sz w:val="16"/>
        </w:rPr>
        <w:t>trend-up</w:t>
      </w:r>
      <w:r>
        <w:t xml:space="preserve"> = high-conviction risk-on; all asset classes aligned</w:t>
      </w:r>
    </w:p>
    <w:p>
      <w:pPr>
        <w:pStyle w:val="ListBullet"/>
      </w:pPr>
      <w:r/>
      <w:r>
        <w:rPr>
          <w:i/>
        </w:rPr>
        <w:t>Momentum regime shift</w:t>
      </w:r>
      <w:r>
        <w:t xml:space="preserve">: M1 flips </w:t>
      </w:r>
      <w:r>
        <w:rPr>
          <w:rFonts w:ascii="Consolas" w:hAnsi="Consolas"/>
          <w:color w:val="8B0000"/>
          <w:sz w:val="16"/>
        </w:rPr>
        <w:t>trend-down</w:t>
      </w:r>
      <w:r>
        <w:t xml:space="preserve"> while M2 still </w:t>
      </w:r>
      <w:r>
        <w:rPr>
          <w:rFonts w:ascii="Consolas" w:hAnsi="Consolas"/>
          <w:color w:val="8B0000"/>
          <w:sz w:val="16"/>
        </w:rPr>
        <w:t>risk-on</w:t>
      </w:r>
      <w:r>
        <w:t xml:space="preserve"> = early warning of US equity divergence from other assets</w:t>
      </w:r>
    </w:p>
    <w:p>
      <w:pPr>
        <w:pStyle w:val="ListBullet"/>
      </w:pPr>
      <w:r/>
      <w:r>
        <w:rPr>
          <w:i/>
        </w:rPr>
        <w:t>Carry with confidence</w:t>
      </w:r>
      <w:r>
        <w:t xml:space="preserve">: M4 </w:t>
      </w:r>
      <w:r>
        <w:rPr>
          <w:rFonts w:ascii="Consolas" w:hAnsi="Consolas"/>
          <w:color w:val="8B0000"/>
          <w:sz w:val="16"/>
        </w:rPr>
        <w:t>carry-regime</w:t>
      </w:r>
      <w:r>
        <w:t xml:space="preserve"> + US_Cr2 </w:t>
      </w:r>
      <w:r>
        <w:rPr>
          <w:rFonts w:ascii="Consolas" w:hAnsi="Consolas"/>
          <w:color w:val="8B0000"/>
          <w:sz w:val="16"/>
        </w:rPr>
        <w:t>normal</w:t>
      </w:r>
      <w:r>
        <w:t xml:space="preserve"> or better = high-yield carry trade supported by both trend and fundamentals</w:t>
      </w:r>
    </w:p>
    <w:p>
      <w:pPr>
        <w:pStyle w:val="Heading1"/>
      </w:pPr>
      <w:r>
        <w:t>3a. US Macro Fundamentals (7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US_JOBS1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Initial Jobless Claims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`labour-deteriorating` / `stable` / `labour-tight`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US_JOBS2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JOLTS Tightness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`labour-tight` / `balanced` / `labour-slack`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US_JOBS3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Labour Market Composite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`labour-strong` / `labour-balanced` / `labour-weak`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US_G6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Real Activity Composite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`strong-growth` / `normal` / `weak-growth`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US_HOUS1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Housing / Building Permits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`housing-expanding` / `neutral` / `housing-contracting`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US_M2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M2 Money Supply Growth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`abundant-liquidity` / `neutral` / `tight-liquidity`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US_ISM1 **+**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ISM Mfg New Orders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Level &gt; 52: `ism-expansion`; 48-52: `ism-neutral`; &lt; 48: `ism-contraction`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Absolute level thresholds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Hard landing signals</w:t>
      </w:r>
      <w:r>
        <w:t xml:space="preserve">: US_JOBS1 </w:t>
      </w:r>
      <w:r>
        <w:rPr>
          <w:rFonts w:ascii="Consolas" w:hAnsi="Consolas"/>
          <w:color w:val="8B0000"/>
          <w:sz w:val="16"/>
        </w:rPr>
        <w:t>labour-deteriorating</w:t>
      </w:r>
      <w:r>
        <w:t xml:space="preserve"> + US_G6 </w:t>
      </w:r>
      <w:r>
        <w:rPr>
          <w:rFonts w:ascii="Consolas" w:hAnsi="Consolas"/>
          <w:color w:val="8B0000"/>
          <w:sz w:val="16"/>
        </w:rPr>
        <w:t>weak-growth</w:t>
      </w:r>
      <w:r>
        <w:t xml:space="preserve"> + US_ISM1 </w:t>
      </w:r>
      <w:r>
        <w:rPr>
          <w:rFonts w:ascii="Consolas" w:hAnsi="Consolas"/>
          <w:color w:val="8B0000"/>
          <w:sz w:val="16"/>
        </w:rPr>
        <w:t>ism-contraction</w:t>
      </w:r>
      <w:r>
        <w:t xml:space="preserve"> = recession probability elevated; strongest when yield curve already inverted (US_R1)</w:t>
      </w:r>
    </w:p>
    <w:p>
      <w:pPr>
        <w:pStyle w:val="ListBullet"/>
      </w:pPr>
      <w:r/>
      <w:r>
        <w:rPr>
          <w:i/>
        </w:rPr>
        <w:t>Goldilocks</w:t>
      </w:r>
      <w:r>
        <w:t xml:space="preserve">: US_JOBS2 </w:t>
      </w:r>
      <w:r>
        <w:rPr>
          <w:rFonts w:ascii="Consolas" w:hAnsi="Consolas"/>
          <w:color w:val="8B0000"/>
          <w:sz w:val="16"/>
        </w:rPr>
        <w:t>balanced</w:t>
      </w:r>
      <w:r>
        <w:t xml:space="preserve"> + US_G6 </w:t>
      </w:r>
      <w:r>
        <w:rPr>
          <w:rFonts w:ascii="Consolas" w:hAnsi="Consolas"/>
          <w:color w:val="8B0000"/>
          <w:sz w:val="16"/>
        </w:rPr>
        <w:t>normal</w:t>
      </w:r>
      <w:r>
        <w:t xml:space="preserve"> + US_M2 </w:t>
      </w:r>
      <w:r>
        <w:rPr>
          <w:rFonts w:ascii="Consolas" w:hAnsi="Consolas"/>
          <w:color w:val="8B0000"/>
          <w:sz w:val="16"/>
        </w:rPr>
        <w:t>neutral</w:t>
      </w:r>
      <w:r>
        <w:t xml:space="preserve"> = neither too hot nor too cold; supports equity multiples</w:t>
      </w:r>
    </w:p>
    <w:p>
      <w:pPr>
        <w:pStyle w:val="ListBullet"/>
      </w:pPr>
      <w:r/>
      <w:r>
        <w:rPr>
          <w:i/>
        </w:rPr>
        <w:t>Housing cycle turn</w:t>
      </w:r>
      <w:r>
        <w:t xml:space="preserve">: US_HOUS1 shift from </w:t>
      </w:r>
      <w:r>
        <w:rPr>
          <w:rFonts w:ascii="Consolas" w:hAnsi="Consolas"/>
          <w:color w:val="8B0000"/>
          <w:sz w:val="16"/>
        </w:rPr>
        <w:t>housing-contracting</w:t>
      </w:r>
      <w:r>
        <w:t xml:space="preserve"> to </w:t>
      </w:r>
      <w:r>
        <w:rPr>
          <w:rFonts w:ascii="Consolas" w:hAnsi="Consolas"/>
          <w:color w:val="8B0000"/>
          <w:sz w:val="16"/>
        </w:rPr>
        <w:t>expanding</w:t>
      </w:r>
      <w:r>
        <w:t xml:space="preserve"> is one of the most reliable early-cycle signals; leads employment by 6-9 months</w:t>
      </w:r>
    </w:p>
    <w:p>
      <w:pPr>
        <w:pStyle w:val="ListBullet"/>
      </w:pPr>
      <w:r/>
      <w:r>
        <w:rPr>
          <w:i/>
        </w:rPr>
        <w:t>Liquidity impulse</w:t>
      </w:r>
      <w:r>
        <w:t xml:space="preserve">: US_M2 </w:t>
      </w:r>
      <w:r>
        <w:rPr>
          <w:rFonts w:ascii="Consolas" w:hAnsi="Consolas"/>
          <w:color w:val="8B0000"/>
          <w:sz w:val="16"/>
        </w:rPr>
        <w:t>abundant-liquidity</w:t>
      </w:r>
      <w:r>
        <w:t xml:space="preserve"> = monetary conditions easing; historically leads equity and credit markets by 3-6 months</w:t>
      </w:r>
    </w:p>
    <w:p>
      <w:pPr>
        <w:pStyle w:val="Heading1"/>
      </w:pPr>
      <w:r>
        <w:t>3b. Europe &amp; UK (10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EU_G1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Eurozone vs Global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`eurozone-outperform` / `neutral` / `eurozone-underperform`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EU_G2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Eurozone vs US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`eurozone-outperform` / `neutral` / `us-dominance`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EU_G3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European Cyclicals vs Defensives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`pro-growth-europe` / `neutral` / `defensive-europe`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EU_G4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EUR Macro Composite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`eurozone-macro-strong` / `neutral` / `eurozone-under-strain`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EU_Cr1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Euro IG Spread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`euro-credit-stress` / `normal` / `compressed-spreads`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EU_R1 **+**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BTP-Bund Spread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Raw &gt; 2.5% or z &gt; +1.5: `peripheral-stress`;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UK_G1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UK Domestic vs Global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`uk-domestic-strength` / `neutral` / `uk-global-preference`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UK_R1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UK-Germany 10Y Spread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`uk-risk-premium` / `normal` / `uk-relative-strength`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UK_R2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UK Inflation Expectations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`uk-inflation-elevated` / `neutral` / `uk-disinflation`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UK_Cr1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UK Credit Conditions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`uk-credit-appetite` / `neutral` / `uk-flight-to-quality`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Europe awakening</w:t>
      </w:r>
      <w:r>
        <w:t xml:space="preserve">: EU_G1 </w:t>
      </w:r>
      <w:r>
        <w:rPr>
          <w:rFonts w:ascii="Consolas" w:hAnsi="Consolas"/>
          <w:color w:val="8B0000"/>
          <w:sz w:val="16"/>
        </w:rPr>
        <w:t>eurozone-outperform</w:t>
      </w:r>
      <w:r>
        <w:t xml:space="preserve"> + EU_G3 </w:t>
      </w:r>
      <w:r>
        <w:rPr>
          <w:rFonts w:ascii="Consolas" w:hAnsi="Consolas"/>
          <w:color w:val="8B0000"/>
          <w:sz w:val="16"/>
        </w:rPr>
        <w:t>pro-growth-europe</w:t>
      </w:r>
      <w:r>
        <w:t xml:space="preserve"> + EU_G4 </w:t>
      </w:r>
      <w:r>
        <w:rPr>
          <w:rFonts w:ascii="Consolas" w:hAnsi="Consolas"/>
          <w:color w:val="8B0000"/>
          <w:sz w:val="16"/>
        </w:rPr>
        <w:t>eurozone-macro-strong</w:t>
      </w:r>
      <w:r>
        <w:t xml:space="preserve"> = rare but powerful European bull signal; strongest when EU_R1 </w:t>
      </w:r>
      <w:r>
        <w:rPr>
          <w:rFonts w:ascii="Consolas" w:hAnsi="Consolas"/>
          <w:color w:val="8B0000"/>
          <w:sz w:val="16"/>
        </w:rPr>
        <w:t>compressed</w:t>
      </w:r>
      <w:r>
        <w:t xml:space="preserve"> (no peripheral stress)</w:t>
      </w:r>
    </w:p>
    <w:p>
      <w:pPr>
        <w:pStyle w:val="ListBullet"/>
      </w:pPr>
      <w:r/>
      <w:r>
        <w:rPr>
          <w:i/>
        </w:rPr>
        <w:t>Peripheral risk</w:t>
      </w:r>
      <w:r>
        <w:t xml:space="preserve">: EU_R1 </w:t>
      </w:r>
      <w:r>
        <w:rPr>
          <w:rFonts w:ascii="Consolas" w:hAnsi="Consolas"/>
          <w:color w:val="8B0000"/>
          <w:sz w:val="16"/>
        </w:rPr>
        <w:t>peripheral-stress</w:t>
      </w:r>
      <w:r>
        <w:t xml:space="preserve"> = Italian sovereign risk repricing; contagion risk to European banks (EU_G3 typically goes </w:t>
      </w:r>
      <w:r>
        <w:rPr>
          <w:rFonts w:ascii="Consolas" w:hAnsi="Consolas"/>
          <w:color w:val="8B0000"/>
          <w:sz w:val="16"/>
        </w:rPr>
        <w:t>defensive-europe</w:t>
      </w:r>
      <w:r>
        <w:t xml:space="preserve"> simultaneously)</w:t>
      </w:r>
    </w:p>
    <w:p>
      <w:pPr>
        <w:pStyle w:val="ListBullet"/>
      </w:pPr>
      <w:r/>
      <w:r>
        <w:rPr>
          <w:i/>
        </w:rPr>
        <w:t>Brexit Britain</w:t>
      </w:r>
      <w:r>
        <w:t xml:space="preserve">: UK_G1 </w:t>
      </w:r>
      <w:r>
        <w:rPr>
          <w:rFonts w:ascii="Consolas" w:hAnsi="Consolas"/>
          <w:color w:val="8B0000"/>
          <w:sz w:val="16"/>
        </w:rPr>
        <w:t>uk-domestic-strength</w:t>
      </w:r>
      <w:r>
        <w:t xml:space="preserve"> + UK_Cr1 </w:t>
      </w:r>
      <w:r>
        <w:rPr>
          <w:rFonts w:ascii="Consolas" w:hAnsi="Consolas"/>
          <w:color w:val="8B0000"/>
          <w:sz w:val="16"/>
        </w:rPr>
        <w:t>uk-credit-appetite</w:t>
      </w:r>
      <w:r>
        <w:t xml:space="preserve"> = UK-specific recovery; often driven by housing and consumer credit</w:t>
      </w:r>
    </w:p>
    <w:p>
      <w:pPr>
        <w:pStyle w:val="ListBullet"/>
      </w:pPr>
      <w:r/>
      <w:r>
        <w:rPr>
          <w:i/>
        </w:rPr>
        <w:t>EUR credibility</w:t>
      </w:r>
      <w:r>
        <w:t xml:space="preserve">: EU_G2 </w:t>
      </w:r>
      <w:r>
        <w:rPr>
          <w:rFonts w:ascii="Consolas" w:hAnsi="Consolas"/>
          <w:color w:val="8B0000"/>
          <w:sz w:val="16"/>
        </w:rPr>
        <w:t>eurozone-outperform</w:t>
      </w:r>
      <w:r>
        <w:t xml:space="preserve"> vs US is rare and newsworthy; when combined with EU_G4 </w:t>
      </w:r>
      <w:r>
        <w:rPr>
          <w:rFonts w:ascii="Consolas" w:hAnsi="Consolas"/>
          <w:color w:val="8B0000"/>
          <w:sz w:val="16"/>
        </w:rPr>
        <w:t>eurozone-macro-strong</w:t>
      </w:r>
      <w:r>
        <w:t>, indicates genuine European fundamental improvement not just USD weakness</w:t>
      </w:r>
    </w:p>
    <w:p>
      <w:pPr>
        <w:pStyle w:val="Heading1"/>
      </w:pPr>
      <w:r>
        <w:t>4a. Asia — China &amp; India (8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AS_CN_G1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China vs Broad EM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`china-driving-EM` / `neutral` / `non-china-EM-leading`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AS_CN_G2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China vs Global DM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`china-outperform` / `neutral` / `china-underperform`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AS_CN_G3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China Size Cycle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`china-domestic-breadth` / `neutral` / `china-large-cap-safety`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AS_IN_G1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India Domestic Growth Breadth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`india-domestic-expansion` / `neutral` / `india-large-cap-safety`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AS_CN_R1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China-US Yield Spread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`china-carry-attractive` / `neutral` / `china-carry-unattractive`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AS_IN_R1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India-US Yield Spread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`india-carry-attractive` / `neutral` / `india-carry-unattractive`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FX_CN1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CNY Momentum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`CNY-strengthening` / `neutral` / `CNY-weakening`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FX_1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INR Momentum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`INR-strengthening` / `neutral` / `INR-weakening`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China stimulus trade</w:t>
      </w:r>
      <w:r>
        <w:t xml:space="preserve">: AS_CN_G2 </w:t>
      </w:r>
      <w:r>
        <w:rPr>
          <w:rFonts w:ascii="Consolas" w:hAnsi="Consolas"/>
          <w:color w:val="8B0000"/>
          <w:sz w:val="16"/>
        </w:rPr>
        <w:t>china-outperform</w:t>
      </w:r>
      <w:r>
        <w:t xml:space="preserve"> + AS_CN_G3 </w:t>
      </w:r>
      <w:r>
        <w:rPr>
          <w:rFonts w:ascii="Consolas" w:hAnsi="Consolas"/>
          <w:color w:val="8B0000"/>
          <w:sz w:val="16"/>
        </w:rPr>
        <w:t>china-domestic-breadth</w:t>
      </w:r>
      <w:r>
        <w:t xml:space="preserve"> + FX_CN1 </w:t>
      </w:r>
      <w:r>
        <w:rPr>
          <w:rFonts w:ascii="Consolas" w:hAnsi="Consolas"/>
          <w:color w:val="8B0000"/>
          <w:sz w:val="16"/>
        </w:rPr>
        <w:t>CNY-strengthening</w:t>
      </w:r>
      <w:r>
        <w:t xml:space="preserve"> = trifecta of Chinese recovery; positive for commodities (FX_CMD5, FX_CMD4) and AUD</w:t>
      </w:r>
    </w:p>
    <w:p>
      <w:pPr>
        <w:pStyle w:val="ListBullet"/>
      </w:pPr>
      <w:r/>
      <w:r>
        <w:rPr>
          <w:i/>
        </w:rPr>
        <w:t>China vs rest of EM</w:t>
      </w:r>
      <w:r>
        <w:t xml:space="preserve">: AS_CN_G1 </w:t>
      </w:r>
      <w:r>
        <w:rPr>
          <w:rFonts w:ascii="Consolas" w:hAnsi="Consolas"/>
          <w:color w:val="8B0000"/>
          <w:sz w:val="16"/>
        </w:rPr>
        <w:t>china-driving-EM</w:t>
      </w:r>
      <w:r>
        <w:t xml:space="preserve"> = China policy stimulus lifting all boats; </w:t>
      </w:r>
      <w:r>
        <w:rPr>
          <w:rFonts w:ascii="Consolas" w:hAnsi="Consolas"/>
          <w:color w:val="8B0000"/>
          <w:sz w:val="16"/>
        </w:rPr>
        <w:t>non-china-EM-leading</w:t>
      </w:r>
      <w:r>
        <w:t xml:space="preserve"> = India/Korea/Taiwan tech cycle driving EM instead</w:t>
      </w:r>
    </w:p>
    <w:p>
      <w:pPr>
        <w:pStyle w:val="ListBullet"/>
      </w:pPr>
      <w:r/>
      <w:r>
        <w:rPr>
          <w:i/>
        </w:rPr>
        <w:t>India structural story</w:t>
      </w:r>
      <w:r>
        <w:t xml:space="preserve">: AS_IN_G1 </w:t>
      </w:r>
      <w:r>
        <w:rPr>
          <w:rFonts w:ascii="Consolas" w:hAnsi="Consolas"/>
          <w:color w:val="8B0000"/>
          <w:sz w:val="16"/>
        </w:rPr>
        <w:t>india-domestic-expansion</w:t>
      </w:r>
      <w:r>
        <w:t xml:space="preserve"> + FX_1 </w:t>
      </w:r>
      <w:r>
        <w:rPr>
          <w:rFonts w:ascii="Consolas" w:hAnsi="Consolas"/>
          <w:color w:val="8B0000"/>
          <w:sz w:val="16"/>
        </w:rPr>
        <w:t>INR-strengthening</w:t>
      </w:r>
      <w:r>
        <w:t xml:space="preserve"> = India's domestic-led growth cycle is alive; positive for domestic banks, consumer discretionary</w:t>
      </w:r>
    </w:p>
    <w:p>
      <w:pPr>
        <w:pStyle w:val="ListBullet"/>
      </w:pPr>
      <w:r/>
      <w:r>
        <w:rPr>
          <w:i/>
        </w:rPr>
        <w:t>Asia carry divergence</w:t>
      </w:r>
      <w:r>
        <w:t>: AS_CN_R1 and AS_IN_R1 moving in opposite directions = differentiated Asia positioning; India carry trades behave differently from China carry trades</w:t>
      </w:r>
    </w:p>
    <w:p>
      <w:pPr>
        <w:pStyle w:val="Heading1"/>
      </w:pPr>
      <w:r>
        <w:t>4b. Asia Commodities &amp; Japan (4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FX_CMD5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Iron Ore / Copper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`china-infra-led` / `neutral` / `global-industrial-led`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FX_CMD4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Iron Ore / Broad Commodities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`china-commodity-leading` / `neutral` / `global-commodity-leading`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JP_G1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Japan vs Global Equities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`japan-outperform` / `neutral` / `japan-underperform`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FX_2 **+**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JPY Carry Trade Signal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&gt; +0.5: `carry-on`; -1 to +0.5: `neutral`; z &lt; -1: `carry-unwind`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Asymmetric thresholds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China infrastructure cycle</w:t>
      </w:r>
      <w:r>
        <w:t xml:space="preserve">: FX_CMD5 </w:t>
      </w:r>
      <w:r>
        <w:rPr>
          <w:rFonts w:ascii="Consolas" w:hAnsi="Consolas"/>
          <w:color w:val="8B0000"/>
          <w:sz w:val="16"/>
        </w:rPr>
        <w:t>china-infra-led</w:t>
      </w:r>
      <w:r>
        <w:t xml:space="preserve"> + FX_CMD4 </w:t>
      </w:r>
      <w:r>
        <w:rPr>
          <w:rFonts w:ascii="Consolas" w:hAnsi="Consolas"/>
          <w:color w:val="8B0000"/>
          <w:sz w:val="16"/>
        </w:rPr>
        <w:t>china-commodity-leading</w:t>
      </w:r>
      <w:r>
        <w:t xml:space="preserve"> = China-specific heavy-industry stimulus is dominant global commodity driver; OW iron ore miners, bulk shippers, AUD</w:t>
      </w:r>
    </w:p>
    <w:p>
      <w:pPr>
        <w:pStyle w:val="ListBullet"/>
      </w:pPr>
      <w:r/>
      <w:r>
        <w:rPr>
          <w:i/>
        </w:rPr>
        <w:t>Carry unwind alert</w:t>
      </w:r>
      <w:r>
        <w:t xml:space="preserve">: FX_2 </w:t>
      </w:r>
      <w:r>
        <w:rPr>
          <w:rFonts w:ascii="Consolas" w:hAnsi="Consolas"/>
          <w:color w:val="8B0000"/>
          <w:sz w:val="16"/>
        </w:rPr>
        <w:t>carry-unwind</w:t>
      </w:r>
      <w:r>
        <w:t xml:space="preserve"> = </w:t>
      </w:r>
      <w:r>
        <w:rPr>
          <w:b/>
        </w:rPr>
        <w:t>systemic risk-off signal</w:t>
      </w:r>
      <w:r>
        <w:t>; JPY strengthening precedes equity/EM damage by 2-4 weeks; historically the single most important forced-deleveraging signal in the library</w:t>
      </w:r>
    </w:p>
    <w:p>
      <w:pPr>
        <w:pStyle w:val="ListBullet"/>
      </w:pPr>
      <w:r/>
      <w:r>
        <w:rPr>
          <w:i/>
        </w:rPr>
        <w:t>Japan + carry alignment</w:t>
      </w:r>
      <w:r>
        <w:t xml:space="preserve">: JP_G1 </w:t>
      </w:r>
      <w:r>
        <w:rPr>
          <w:rFonts w:ascii="Consolas" w:hAnsi="Consolas"/>
          <w:color w:val="8B0000"/>
          <w:sz w:val="16"/>
        </w:rPr>
        <w:t>japan-outperform</w:t>
      </w:r>
      <w:r>
        <w:t xml:space="preserve"> + FX_2 </w:t>
      </w:r>
      <w:r>
        <w:rPr>
          <w:rFonts w:ascii="Consolas" w:hAnsi="Consolas"/>
          <w:color w:val="8B0000"/>
          <w:sz w:val="16"/>
        </w:rPr>
        <w:t>carry-on</w:t>
      </w:r>
      <w:r>
        <w:t xml:space="preserve"> = carry trade is ON and Japanese export earnings supportive; if JP_G1 positive but FX_2 negative = higher-quality domestically-driven Japanese expansion</w:t>
      </w:r>
    </w:p>
    <w:p>
      <w:pPr>
        <w:pStyle w:val="Heading1"/>
      </w:pPr>
      <w:r>
        <w:t>4c. Global &amp; Regional (9 indicators)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Short Name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Regime Thresholds</w:t>
            </w:r>
          </w:p>
        </w:tc>
        <w:tc>
          <w:tcPr>
            <w:tcW w:type="dxa" w:w="2556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Labels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GL_CLI1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 vs Eurozone Growth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`US-leads-EU` / `neutral` / `EU-leads-US`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GL_CLI2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US vs China Growth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`US-leads-China` / `neutral` / `China-leads-US`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EU_CLI1 **+**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Europe Block CLI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CLI &gt; 100 &amp; z &gt; +1: `EU-above-trend`; CLI ~ 100 &amp;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AS_CLI1 **+**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Asia-Pacific Block CLI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CLI &gt; 100 &amp; z &gt; +1: `Asia-above-trend`;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GL_CLI5 **+**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Global Growth Breadth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Fraction &gt;= 0.7: `broad-expansion`; 0.4-0.7: `mixed`; &lt; 0.4: `contracting`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Fraction-based (naturally leading)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GL_G2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Global Risk Appetite (ACWI/GOVT)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`global-risk-on` / `neutral` / `global-risk-off`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GL_G1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EM vs DM (EEM/URTH)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`EM-outperform` / `neutral` / `DM-outperform`</w:t>
            </w:r>
          </w:p>
        </w:tc>
      </w:tr>
      <w:tr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FX_CMD6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Commodity Cycle Momentum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  <w:shd w:fill="D6E4F0" w:val="clear"/>
          </w:tcPr>
          <w:p>
            <w:r>
              <w:rPr>
                <w:sz w:val="16"/>
              </w:rPr>
              <w:t>`commodity-bull` / `neutral` / `commodity-bear`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FX_CMD3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Oil vs Gold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z +/-1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`growth-inflation` / `balanced` / `deflation-risk`</w:t>
            </w:r>
          </w:p>
        </w:tc>
      </w:tr>
    </w:tbl>
    <w:p/>
    <w:p>
      <w:pPr/>
      <w:r/>
      <w:r>
        <w:rPr>
          <w:b/>
        </w:rPr>
        <w:t>Narrative themes:</w:t>
      </w:r>
      <w:r/>
    </w:p>
    <w:p>
      <w:pPr>
        <w:pStyle w:val="ListBullet"/>
      </w:pPr>
      <w:r/>
      <w:r>
        <w:rPr>
          <w:i/>
        </w:rPr>
        <w:t>Synchronised global expansion</w:t>
      </w:r>
      <w:r>
        <w:t xml:space="preserve">: GL_CLI5 </w:t>
      </w:r>
      <w:r>
        <w:rPr>
          <w:rFonts w:ascii="Consolas" w:hAnsi="Consolas"/>
          <w:color w:val="8B0000"/>
          <w:sz w:val="16"/>
        </w:rPr>
        <w:t>broad-expansion</w:t>
      </w:r>
      <w:r>
        <w:t xml:space="preserve"> (&gt;= 7/9 countries above trend) + GL_G2 </w:t>
      </w:r>
      <w:r>
        <w:rPr>
          <w:rFonts w:ascii="Consolas" w:hAnsi="Consolas"/>
          <w:color w:val="8B0000"/>
          <w:sz w:val="16"/>
        </w:rPr>
        <w:t>global-risk-on</w:t>
      </w:r>
      <w:r>
        <w:t xml:space="preserve"> = the most bullish macro backdrop possible; raise equity beta across regions, favour EM and HY</w:t>
      </w:r>
    </w:p>
    <w:p>
      <w:pPr>
        <w:pStyle w:val="ListBullet"/>
      </w:pPr>
      <w:r/>
      <w:r>
        <w:rPr>
          <w:i/>
        </w:rPr>
        <w:t>Global contraction</w:t>
      </w:r>
      <w:r>
        <w:t xml:space="preserve">: GL_CLI5 </w:t>
      </w:r>
      <w:r>
        <w:rPr>
          <w:rFonts w:ascii="Consolas" w:hAnsi="Consolas"/>
          <w:color w:val="8B0000"/>
          <w:sz w:val="16"/>
        </w:rPr>
        <w:t>contracting</w:t>
      </w:r>
      <w:r>
        <w:t xml:space="preserve"> (&lt; 4/9) + GL_G2 </w:t>
      </w:r>
      <w:r>
        <w:rPr>
          <w:rFonts w:ascii="Consolas" w:hAnsi="Consolas"/>
          <w:color w:val="8B0000"/>
          <w:sz w:val="16"/>
        </w:rPr>
        <w:t>global-risk-off</w:t>
      </w:r>
      <w:r>
        <w:t xml:space="preserve"> = de-risk; favour quality, IG, core government bonds, reduce EM/HY</w:t>
      </w:r>
    </w:p>
    <w:p>
      <w:pPr>
        <w:pStyle w:val="ListBullet"/>
      </w:pPr>
      <w:r/>
      <w:r>
        <w:rPr>
          <w:i/>
        </w:rPr>
        <w:t>EM rotation window</w:t>
      </w:r>
      <w:r>
        <w:t xml:space="preserve">: GL_G1 </w:t>
      </w:r>
      <w:r>
        <w:rPr>
          <w:rFonts w:ascii="Consolas" w:hAnsi="Consolas"/>
          <w:color w:val="8B0000"/>
          <w:sz w:val="16"/>
        </w:rPr>
        <w:t>EM-outperform</w:t>
      </w:r>
      <w:r>
        <w:t xml:space="preserve"> + FX_CMD2 </w:t>
      </w:r>
      <w:r>
        <w:rPr>
          <w:rFonts w:ascii="Consolas" w:hAnsi="Consolas"/>
          <w:color w:val="8B0000"/>
          <w:sz w:val="16"/>
        </w:rPr>
        <w:t>weak-USD</w:t>
      </w:r>
      <w:r>
        <w:t xml:space="preserve"> + FX_CMD6 </w:t>
      </w:r>
      <w:r>
        <w:rPr>
          <w:rFonts w:ascii="Consolas" w:hAnsi="Consolas"/>
          <w:color w:val="8B0000"/>
          <w:sz w:val="16"/>
        </w:rPr>
        <w:t>commodity-bull</w:t>
      </w:r>
      <w:r>
        <w:t xml:space="preserve"> = all three EM conditions met simultaneously; historically the highest-conviction EM overweight signal</w:t>
      </w:r>
    </w:p>
    <w:p>
      <w:pPr>
        <w:pStyle w:val="ListBullet"/>
      </w:pPr>
      <w:r/>
      <w:r>
        <w:rPr>
          <w:i/>
        </w:rPr>
        <w:t>Reflation vs deflation</w:t>
      </w:r>
      <w:r>
        <w:t xml:space="preserve">: FX_CMD3 </w:t>
      </w:r>
      <w:r>
        <w:rPr>
          <w:rFonts w:ascii="Consolas" w:hAnsi="Consolas"/>
          <w:color w:val="8B0000"/>
          <w:sz w:val="16"/>
        </w:rPr>
        <w:t>growth-inflation</w:t>
      </w:r>
      <w:r>
        <w:t xml:space="preserve"> + FX_CMD1 </w:t>
      </w:r>
      <w:r>
        <w:rPr>
          <w:rFonts w:ascii="Consolas" w:hAnsi="Consolas"/>
          <w:color w:val="8B0000"/>
          <w:sz w:val="16"/>
        </w:rPr>
        <w:t>pro-growth</w:t>
      </w:r>
      <w:r>
        <w:t xml:space="preserve"> = high-conviction growth-driven reflation; FX_CMD3 </w:t>
      </w:r>
      <w:r>
        <w:rPr>
          <w:rFonts w:ascii="Consolas" w:hAnsi="Consolas"/>
          <w:color w:val="8B0000"/>
          <w:sz w:val="16"/>
        </w:rPr>
        <w:t>deflation-risk</w:t>
      </w:r>
      <w:r>
        <w:t xml:space="preserve"> + FX_CMD1 </w:t>
      </w:r>
      <w:r>
        <w:rPr>
          <w:rFonts w:ascii="Consolas" w:hAnsi="Consolas"/>
          <w:color w:val="8B0000"/>
          <w:sz w:val="16"/>
        </w:rPr>
        <w:t>growth-scare</w:t>
      </w:r>
      <w:r>
        <w:t xml:space="preserve"> = deflation/recession positioning</w:t>
      </w:r>
    </w:p>
    <w:p>
      <w:pPr>
        <w:pStyle w:val="ListBullet"/>
      </w:pPr>
      <w:r/>
      <w:r>
        <w:rPr>
          <w:i/>
        </w:rPr>
        <w:t>Regional leadership</w:t>
      </w:r>
      <w:r>
        <w:t xml:space="preserve">: GL_CLI1 and GL_CLI2 determine the primary equity regional tilt; when both point </w:t>
      </w:r>
      <w:r>
        <w:rPr>
          <w:rFonts w:ascii="Consolas" w:hAnsi="Consolas"/>
          <w:color w:val="8B0000"/>
          <w:sz w:val="16"/>
        </w:rPr>
        <w:t>US-leads</w:t>
      </w:r>
      <w:r>
        <w:t>, dollar-denominated US assets are the gravitational centre</w:t>
      </w:r>
    </w:p>
    <w:p>
      <w:pPr>
        <w:pStyle w:val="Heading1"/>
      </w:pPr>
      <w:r>
        <w:t>Non-Standard Threshold Summary</w:t>
      </w:r>
    </w:p>
    <w:p>
      <w:pPr/>
      <w:r>
        <w:t>Nine indicators use non-standard regime logic: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40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340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Key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US_R1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Level override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Spread &lt; 0 (inversion) → `recession-watch` regardless of z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US_Cr2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Absolute levels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5-regime framework using HY spread bps (300/400/500/800)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US_V1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Level override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VIX3M - VIX &lt; 0 (inversion) → `stress` regardless of z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US_ISM1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Absolute levels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ISM New Orders: 48/52 thresholds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EU_R1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Level + asymmetric z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BTP-Bund raw &gt; 2.5% overrides z; uses +1.5/-1 asymmetric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FX_2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Asymmetric z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+0.5 / -1 (lower bar for carry-on, higher bar for carry-unwind)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EU_CLI1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Level + z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CLI &gt; 100 AND z &gt; +1 required for `above-trend`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AS_CLI1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Level + z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CLI &gt; 100 AND z &gt; +1 required for `above-trend`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GL_CLI5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Fraction-based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0.4/0.7 fraction of 9 countries meeting dual condition</w:t>
            </w:r>
          </w:p>
        </w:tc>
      </w:tr>
    </w:tbl>
    <w:p/>
    <w:p>
      <w:pPr>
        <w:pStyle w:val="Heading1"/>
      </w:pPr>
      <w:r>
        <w:t>Cross-Indicator Confirmation Patterns</w:t>
      </w:r>
    </w:p>
    <w:p>
      <w:pPr/>
      <w:r>
        <w:t>These are the highest-conviction multi-indicator signals for blog narrative generation:</w:t>
      </w:r>
    </w:p>
    <w:p>
      <w:pPr>
        <w:pStyle w:val="Heading2"/>
      </w:pPr>
      <w:r>
        <w:t>Bull Confirmation Stack</w:t>
      </w:r>
    </w:p>
    <w:p>
      <w:pPr>
        <w:pStyle w:val="ListNumber"/>
      </w:pPr>
      <w:r/>
      <w:r>
        <w:rPr>
          <w:b/>
        </w:rPr>
        <w:t>US growth</w:t>
      </w:r>
      <w:r>
        <w:t xml:space="preserve">: US_G1 </w:t>
      </w:r>
      <w:r>
        <w:rPr>
          <w:rFonts w:ascii="Consolas" w:hAnsi="Consolas"/>
          <w:color w:val="8B0000"/>
          <w:sz w:val="16"/>
        </w:rPr>
        <w:t>pro-growth</w:t>
      </w:r>
      <w:r>
        <w:t xml:space="preserve"> + US_G2 </w:t>
      </w:r>
      <w:r>
        <w:rPr>
          <w:rFonts w:ascii="Consolas" w:hAnsi="Consolas"/>
          <w:color w:val="8B0000"/>
          <w:sz w:val="16"/>
        </w:rPr>
        <w:t>risk-on</w:t>
      </w:r>
      <w:r>
        <w:t xml:space="preserve"> + US_G4 </w:t>
      </w:r>
      <w:r>
        <w:rPr>
          <w:rFonts w:ascii="Consolas" w:hAnsi="Consolas"/>
          <w:color w:val="8B0000"/>
          <w:sz w:val="16"/>
        </w:rPr>
        <w:t>broad-rally</w:t>
      </w:r>
      <w:r/>
    </w:p>
    <w:p>
      <w:pPr>
        <w:pStyle w:val="ListNumber"/>
      </w:pPr>
      <w:r/>
      <w:r>
        <w:rPr>
          <w:b/>
        </w:rPr>
        <w:t>Credit healthy</w:t>
      </w:r>
      <w:r>
        <w:t xml:space="preserve">: US_Cr2 </w:t>
      </w:r>
      <w:r>
        <w:rPr>
          <w:rFonts w:ascii="Consolas" w:hAnsi="Consolas"/>
          <w:color w:val="8B0000"/>
          <w:sz w:val="16"/>
        </w:rPr>
        <w:t>normal</w:t>
      </w:r>
      <w:r>
        <w:t xml:space="preserve"> or </w:t>
      </w:r>
      <w:r>
        <w:rPr>
          <w:rFonts w:ascii="Consolas" w:hAnsi="Consolas"/>
          <w:color w:val="8B0000"/>
          <w:sz w:val="16"/>
        </w:rPr>
        <w:t>complacent</w:t>
      </w:r>
      <w:r>
        <w:t xml:space="preserve"> + US_V1 </w:t>
      </w:r>
      <w:r>
        <w:rPr>
          <w:rFonts w:ascii="Consolas" w:hAnsi="Consolas"/>
          <w:color w:val="8B0000"/>
          <w:sz w:val="16"/>
        </w:rPr>
        <w:t>normal</w:t>
      </w:r>
      <w:r/>
    </w:p>
    <w:p>
      <w:pPr>
        <w:pStyle w:val="ListNumber"/>
      </w:pPr>
      <w:r/>
      <w:r>
        <w:rPr>
          <w:b/>
        </w:rPr>
        <w:t>Rates supportive</w:t>
      </w:r>
      <w:r>
        <w:t xml:space="preserve">: US_R1 </w:t>
      </w:r>
      <w:r>
        <w:rPr>
          <w:rFonts w:ascii="Consolas" w:hAnsi="Consolas"/>
          <w:color w:val="8B0000"/>
          <w:sz w:val="16"/>
        </w:rPr>
        <w:t>early-cycle</w:t>
      </w:r>
      <w:r>
        <w:t xml:space="preserve"> or </w:t>
      </w:r>
      <w:r>
        <w:rPr>
          <w:rFonts w:ascii="Consolas" w:hAnsi="Consolas"/>
          <w:color w:val="8B0000"/>
          <w:sz w:val="16"/>
        </w:rPr>
        <w:t>mid-cycle</w:t>
      </w:r>
      <w:r>
        <w:t xml:space="preserve"> (no inversion)</w:t>
      </w:r>
    </w:p>
    <w:p>
      <w:pPr>
        <w:pStyle w:val="ListNumber"/>
      </w:pPr>
      <w:r/>
      <w:r>
        <w:rPr>
          <w:b/>
        </w:rPr>
        <w:t>Global breadth</w:t>
      </w:r>
      <w:r>
        <w:t xml:space="preserve">: GL_CLI5 </w:t>
      </w:r>
      <w:r>
        <w:rPr>
          <w:rFonts w:ascii="Consolas" w:hAnsi="Consolas"/>
          <w:color w:val="8B0000"/>
          <w:sz w:val="16"/>
        </w:rPr>
        <w:t>broad-expansion</w:t>
      </w:r>
      <w:r>
        <w:t xml:space="preserve"> + GL_G2 </w:t>
      </w:r>
      <w:r>
        <w:rPr>
          <w:rFonts w:ascii="Consolas" w:hAnsi="Consolas"/>
          <w:color w:val="8B0000"/>
          <w:sz w:val="16"/>
        </w:rPr>
        <w:t>global-risk-on</w:t>
      </w:r>
      <w:r/>
    </w:p>
    <w:p>
      <w:pPr>
        <w:pStyle w:val="ListNumber"/>
      </w:pPr>
      <w:r/>
      <w:r>
        <w:rPr>
          <w:b/>
        </w:rPr>
        <w:t>Momentum aligned</w:t>
      </w:r>
      <w:r>
        <w:t xml:space="preserve">: M1 </w:t>
      </w:r>
      <w:r>
        <w:rPr>
          <w:rFonts w:ascii="Consolas" w:hAnsi="Consolas"/>
          <w:color w:val="8B0000"/>
          <w:sz w:val="16"/>
        </w:rPr>
        <w:t>trend-up</w:t>
      </w:r>
      <w:r>
        <w:t xml:space="preserve"> + M2 </w:t>
      </w:r>
      <w:r>
        <w:rPr>
          <w:rFonts w:ascii="Consolas" w:hAnsi="Consolas"/>
          <w:color w:val="8B0000"/>
          <w:sz w:val="16"/>
        </w:rPr>
        <w:t>risk-on</w:t>
      </w:r>
      <w:r/>
    </w:p>
    <w:p>
      <w:pPr>
        <w:pStyle w:val="Heading2"/>
      </w:pPr>
      <w:r>
        <w:t>Bear / Recession Stack</w:t>
      </w:r>
    </w:p>
    <w:p>
      <w:pPr>
        <w:pStyle w:val="ListNumber"/>
      </w:pPr>
      <w:r/>
      <w:r>
        <w:rPr>
          <w:b/>
        </w:rPr>
        <w:t>Yield curve</w:t>
      </w:r>
      <w:r>
        <w:t xml:space="preserve">: US_R1 </w:t>
      </w:r>
      <w:r>
        <w:rPr>
          <w:rFonts w:ascii="Consolas" w:hAnsi="Consolas"/>
          <w:color w:val="8B0000"/>
          <w:sz w:val="16"/>
        </w:rPr>
        <w:t>recession-watch</w:t>
      </w:r>
      <w:r>
        <w:t xml:space="preserve"> (inverted) for &gt; 3 months</w:t>
      </w:r>
    </w:p>
    <w:p>
      <w:pPr>
        <w:pStyle w:val="ListNumber"/>
      </w:pPr>
      <w:r/>
      <w:r>
        <w:rPr>
          <w:b/>
        </w:rPr>
        <w:t>Credit deteriorating</w:t>
      </w:r>
      <w:r>
        <w:t xml:space="preserve">: US_Cr2 </w:t>
      </w:r>
      <w:r>
        <w:rPr>
          <w:rFonts w:ascii="Consolas" w:hAnsi="Consolas"/>
          <w:color w:val="8B0000"/>
          <w:sz w:val="16"/>
        </w:rPr>
        <w:t>stress</w:t>
      </w:r>
      <w:r>
        <w:t xml:space="preserve"> or </w:t>
      </w:r>
      <w:r>
        <w:rPr>
          <w:rFonts w:ascii="Consolas" w:hAnsi="Consolas"/>
          <w:color w:val="8B0000"/>
          <w:sz w:val="16"/>
        </w:rPr>
        <w:t>opportunity</w:t>
      </w:r>
      <w:r>
        <w:t xml:space="preserve"> + US_Cr3 widening</w:t>
      </w:r>
    </w:p>
    <w:p>
      <w:pPr>
        <w:pStyle w:val="ListNumber"/>
      </w:pPr>
      <w:r/>
      <w:r>
        <w:rPr>
          <w:b/>
        </w:rPr>
        <w:t>Labour cracking</w:t>
      </w:r>
      <w:r>
        <w:t xml:space="preserve">: US_JOBS1 </w:t>
      </w:r>
      <w:r>
        <w:rPr>
          <w:rFonts w:ascii="Consolas" w:hAnsi="Consolas"/>
          <w:color w:val="8B0000"/>
          <w:sz w:val="16"/>
        </w:rPr>
        <w:t>labour-deteriorating</w:t>
      </w:r>
      <w:r>
        <w:t xml:space="preserve"> + US_JOBS2 </w:t>
      </w:r>
      <w:r>
        <w:rPr>
          <w:rFonts w:ascii="Consolas" w:hAnsi="Consolas"/>
          <w:color w:val="8B0000"/>
          <w:sz w:val="16"/>
        </w:rPr>
        <w:t>labour-slack</w:t>
      </w:r>
      <w:r/>
    </w:p>
    <w:p>
      <w:pPr>
        <w:pStyle w:val="ListNumber"/>
      </w:pPr>
      <w:r/>
      <w:r>
        <w:rPr>
          <w:b/>
        </w:rPr>
        <w:t>Vol stress</w:t>
      </w:r>
      <w:r>
        <w:t xml:space="preserve">: US_V1 </w:t>
      </w:r>
      <w:r>
        <w:rPr>
          <w:rFonts w:ascii="Consolas" w:hAnsi="Consolas"/>
          <w:color w:val="8B0000"/>
          <w:sz w:val="16"/>
        </w:rPr>
        <w:t>stress</w:t>
      </w:r>
      <w:r>
        <w:t xml:space="preserve"> (inverted term structure)</w:t>
      </w:r>
    </w:p>
    <w:p>
      <w:pPr>
        <w:pStyle w:val="ListNumber"/>
      </w:pPr>
      <w:r/>
      <w:r>
        <w:rPr>
          <w:b/>
        </w:rPr>
        <w:t>Global contraction</w:t>
      </w:r>
      <w:r>
        <w:t xml:space="preserve">: GL_CLI5 </w:t>
      </w:r>
      <w:r>
        <w:rPr>
          <w:rFonts w:ascii="Consolas" w:hAnsi="Consolas"/>
          <w:color w:val="8B0000"/>
          <w:sz w:val="16"/>
        </w:rPr>
        <w:t>contracting</w:t>
      </w:r>
      <w:r>
        <w:t xml:space="preserve"> + GL_G2 </w:t>
      </w:r>
      <w:r>
        <w:rPr>
          <w:rFonts w:ascii="Consolas" w:hAnsi="Consolas"/>
          <w:color w:val="8B0000"/>
          <w:sz w:val="16"/>
        </w:rPr>
        <w:t>global-risk-off</w:t>
      </w:r>
      <w:r/>
    </w:p>
    <w:p>
      <w:pPr>
        <w:pStyle w:val="ListNumber"/>
      </w:pPr>
      <w:r/>
      <w:r>
        <w:rPr>
          <w:b/>
        </w:rPr>
        <w:t>Carry unwind</w:t>
      </w:r>
      <w:r>
        <w:t xml:space="preserve">: FX_2 </w:t>
      </w:r>
      <w:r>
        <w:rPr>
          <w:rFonts w:ascii="Consolas" w:hAnsi="Consolas"/>
          <w:color w:val="8B0000"/>
          <w:sz w:val="16"/>
        </w:rPr>
        <w:t>carry-unwind</w:t>
      </w:r>
      <w:r>
        <w:t xml:space="preserve"> (systemic deleveraging)</w:t>
      </w:r>
    </w:p>
    <w:p>
      <w:pPr>
        <w:pStyle w:val="Heading2"/>
      </w:pPr>
      <w:r>
        <w:t>EM Outperformance Stack</w:t>
      </w:r>
    </w:p>
    <w:p>
      <w:pPr>
        <w:pStyle w:val="ListNumber"/>
      </w:pPr>
      <w:r/>
      <w:r>
        <w:rPr>
          <w:b/>
        </w:rPr>
        <w:t>Dollar weak</w:t>
      </w:r>
      <w:r>
        <w:t xml:space="preserve">: FX_CMD2 </w:t>
      </w:r>
      <w:r>
        <w:rPr>
          <w:rFonts w:ascii="Consolas" w:hAnsi="Consolas"/>
          <w:color w:val="8B0000"/>
          <w:sz w:val="16"/>
        </w:rPr>
        <w:t>weak-USD</w:t>
      </w:r>
      <w:r/>
    </w:p>
    <w:p>
      <w:pPr>
        <w:pStyle w:val="ListNumber"/>
      </w:pPr>
      <w:r/>
      <w:r>
        <w:rPr>
          <w:b/>
        </w:rPr>
        <w:t>EM leading</w:t>
      </w:r>
      <w:r>
        <w:t xml:space="preserve">: GL_G1 </w:t>
      </w:r>
      <w:r>
        <w:rPr>
          <w:rFonts w:ascii="Consolas" w:hAnsi="Consolas"/>
          <w:color w:val="8B0000"/>
          <w:sz w:val="16"/>
        </w:rPr>
        <w:t>EM-outperform</w:t>
      </w:r>
      <w:r/>
    </w:p>
    <w:p>
      <w:pPr>
        <w:pStyle w:val="ListNumber"/>
      </w:pPr>
      <w:r/>
      <w:r>
        <w:rPr>
          <w:b/>
        </w:rPr>
        <w:t>Commodities rising</w:t>
      </w:r>
      <w:r>
        <w:t xml:space="preserve">: FX_CMD6 </w:t>
      </w:r>
      <w:r>
        <w:rPr>
          <w:rFonts w:ascii="Consolas" w:hAnsi="Consolas"/>
          <w:color w:val="8B0000"/>
          <w:sz w:val="16"/>
        </w:rPr>
        <w:t>commodity-bull</w:t>
      </w:r>
      <w:r/>
    </w:p>
    <w:p>
      <w:pPr>
        <w:pStyle w:val="ListNumber"/>
      </w:pPr>
      <w:r/>
      <w:r>
        <w:rPr>
          <w:b/>
        </w:rPr>
        <w:t>China recovery</w:t>
      </w:r>
      <w:r>
        <w:t xml:space="preserve">: AS_CN_G2 </w:t>
      </w:r>
      <w:r>
        <w:rPr>
          <w:rFonts w:ascii="Consolas" w:hAnsi="Consolas"/>
          <w:color w:val="8B0000"/>
          <w:sz w:val="16"/>
        </w:rPr>
        <w:t>china-outperform</w:t>
      </w:r>
      <w:r>
        <w:t xml:space="preserve"> + FX_CN1 </w:t>
      </w:r>
      <w:r>
        <w:rPr>
          <w:rFonts w:ascii="Consolas" w:hAnsi="Consolas"/>
          <w:color w:val="8B0000"/>
          <w:sz w:val="16"/>
        </w:rPr>
        <w:t>CNY-strengthening</w:t>
      </w:r>
      <w:r/>
    </w:p>
    <w:p>
      <w:pPr>
        <w:pStyle w:val="ListNumber"/>
      </w:pPr>
      <w:r/>
      <w:r>
        <w:rPr>
          <w:b/>
        </w:rPr>
        <w:t>Growth breadth</w:t>
      </w:r>
      <w:r>
        <w:t xml:space="preserve">: GL_CLI5 </w:t>
      </w:r>
      <w:r>
        <w:rPr>
          <w:rFonts w:ascii="Consolas" w:hAnsi="Consolas"/>
          <w:color w:val="8B0000"/>
          <w:sz w:val="16"/>
        </w:rPr>
        <w:t>broad-expansion</w:t>
      </w:r>
      <w:r>
        <w:t xml:space="preserve"> + GL_CLI2 </w:t>
      </w:r>
      <w:r>
        <w:rPr>
          <w:rFonts w:ascii="Consolas" w:hAnsi="Consolas"/>
          <w:color w:val="8B0000"/>
          <w:sz w:val="16"/>
        </w:rPr>
        <w:t>China-leads-US</w:t>
      </w:r>
      <w:r/>
    </w:p>
    <w:p>
      <w:pPr>
        <w:pStyle w:val="Heading2"/>
      </w:pPr>
      <w:r>
        <w:t>Europe Revival Stack</w:t>
      </w:r>
    </w:p>
    <w:p>
      <w:pPr>
        <w:pStyle w:val="ListNumber"/>
      </w:pPr>
      <w:r/>
      <w:r>
        <w:rPr>
          <w:b/>
        </w:rPr>
        <w:t>Outperformance</w:t>
      </w:r>
      <w:r>
        <w:t xml:space="preserve">: EU_G1 </w:t>
      </w:r>
      <w:r>
        <w:rPr>
          <w:rFonts w:ascii="Consolas" w:hAnsi="Consolas"/>
          <w:color w:val="8B0000"/>
          <w:sz w:val="16"/>
        </w:rPr>
        <w:t>eurozone-outperform</w:t>
      </w:r>
      <w:r>
        <w:t xml:space="preserve"> + EU_G2 </w:t>
      </w:r>
      <w:r>
        <w:rPr>
          <w:rFonts w:ascii="Consolas" w:hAnsi="Consolas"/>
          <w:color w:val="8B0000"/>
          <w:sz w:val="16"/>
        </w:rPr>
        <w:t>eurozone-outperform</w:t>
      </w:r>
      <w:r/>
    </w:p>
    <w:p>
      <w:pPr>
        <w:pStyle w:val="ListNumber"/>
      </w:pPr>
      <w:r/>
      <w:r>
        <w:rPr>
          <w:b/>
        </w:rPr>
        <w:t>Cyclicals leading</w:t>
      </w:r>
      <w:r>
        <w:t xml:space="preserve">: EU_G3 </w:t>
      </w:r>
      <w:r>
        <w:rPr>
          <w:rFonts w:ascii="Consolas" w:hAnsi="Consolas"/>
          <w:color w:val="8B0000"/>
          <w:sz w:val="16"/>
        </w:rPr>
        <w:t>pro-growth-europe</w:t>
      </w:r>
      <w:r/>
    </w:p>
    <w:p>
      <w:pPr>
        <w:pStyle w:val="ListNumber"/>
      </w:pPr>
      <w:r/>
      <w:r>
        <w:rPr>
          <w:b/>
        </w:rPr>
        <w:t>No peripheral stress</w:t>
      </w:r>
      <w:r>
        <w:t xml:space="preserve">: EU_R1 </w:t>
      </w:r>
      <w:r>
        <w:rPr>
          <w:rFonts w:ascii="Consolas" w:hAnsi="Consolas"/>
          <w:color w:val="8B0000"/>
          <w:sz w:val="16"/>
        </w:rPr>
        <w:t>compressed</w:t>
      </w:r>
      <w:r>
        <w:t xml:space="preserve"> or </w:t>
      </w:r>
      <w:r>
        <w:rPr>
          <w:rFonts w:ascii="Consolas" w:hAnsi="Consolas"/>
          <w:color w:val="8B0000"/>
          <w:sz w:val="16"/>
        </w:rPr>
        <w:t>normal</w:t>
      </w:r>
      <w:r/>
    </w:p>
    <w:p>
      <w:pPr>
        <w:pStyle w:val="ListNumber"/>
      </w:pPr>
      <w:r/>
      <w:r>
        <w:rPr>
          <w:b/>
        </w:rPr>
        <w:t>Fundamentals</w:t>
      </w:r>
      <w:r>
        <w:t xml:space="preserve">: EU_CLI1 </w:t>
      </w:r>
      <w:r>
        <w:rPr>
          <w:rFonts w:ascii="Consolas" w:hAnsi="Consolas"/>
          <w:color w:val="8B0000"/>
          <w:sz w:val="16"/>
        </w:rPr>
        <w:t>EU-above-trend</w:t>
      </w:r>
      <w:r>
        <w:t xml:space="preserve"> + EU_G4 </w:t>
      </w:r>
      <w:r>
        <w:rPr>
          <w:rFonts w:ascii="Consolas" w:hAnsi="Consolas"/>
          <w:color w:val="8B0000"/>
          <w:sz w:val="16"/>
        </w:rPr>
        <w:t>eurozone-macro-strong</w:t>
      </w:r>
      <w:r/>
    </w:p>
    <w:p>
      <w:pPr>
        <w:pStyle w:val="Heading2"/>
      </w:pPr>
      <w:r>
        <w:t>Inflation / Reflation Stack</w:t>
      </w:r>
    </w:p>
    <w:p>
      <w:pPr>
        <w:pStyle w:val="ListNumber"/>
      </w:pPr>
      <w:r/>
      <w:r>
        <w:rPr>
          <w:b/>
        </w:rPr>
        <w:t>Breakevens rising</w:t>
      </w:r>
      <w:r>
        <w:t xml:space="preserve">: US_R4 </w:t>
      </w:r>
      <w:r>
        <w:rPr>
          <w:rFonts w:ascii="Consolas" w:hAnsi="Consolas"/>
          <w:color w:val="8B0000"/>
          <w:sz w:val="16"/>
        </w:rPr>
        <w:t>inflation-elevated</w:t>
      </w:r>
      <w:r/>
    </w:p>
    <w:p>
      <w:pPr>
        <w:pStyle w:val="ListNumber"/>
      </w:pPr>
      <w:r/>
      <w:r>
        <w:rPr>
          <w:b/>
        </w:rPr>
        <w:t>Real rates low</w:t>
      </w:r>
      <w:r>
        <w:t xml:space="preserve">: US_R5 </w:t>
      </w:r>
      <w:r>
        <w:rPr>
          <w:rFonts w:ascii="Consolas" w:hAnsi="Consolas"/>
          <w:color w:val="8B0000"/>
          <w:sz w:val="16"/>
        </w:rPr>
        <w:t>low-real-rates</w:t>
      </w:r>
      <w:r/>
    </w:p>
    <w:p>
      <w:pPr>
        <w:pStyle w:val="ListNumber"/>
      </w:pPr>
      <w:r/>
      <w:r>
        <w:rPr>
          <w:b/>
        </w:rPr>
        <w:t>Commodities vs bonds</w:t>
      </w:r>
      <w:r>
        <w:t xml:space="preserve">: GL_CA_I1 </w:t>
      </w:r>
      <w:r>
        <w:rPr>
          <w:rFonts w:ascii="Consolas" w:hAnsi="Consolas"/>
          <w:color w:val="8B0000"/>
          <w:sz w:val="16"/>
        </w:rPr>
        <w:t>reflation</w:t>
      </w:r>
      <w:r/>
    </w:p>
    <w:p>
      <w:pPr>
        <w:pStyle w:val="ListNumber"/>
      </w:pPr>
      <w:r/>
      <w:r>
        <w:rPr>
          <w:b/>
        </w:rPr>
        <w:t>Oil outperforming gold</w:t>
      </w:r>
      <w:r>
        <w:t xml:space="preserve">: FX_CMD3 </w:t>
      </w:r>
      <w:r>
        <w:rPr>
          <w:rFonts w:ascii="Consolas" w:hAnsi="Consolas"/>
          <w:color w:val="8B0000"/>
          <w:sz w:val="16"/>
        </w:rPr>
        <w:t>growth-inflation</w:t>
      </w:r>
      <w:r/>
    </w:p>
    <w:p>
      <w:pPr>
        <w:pStyle w:val="ListNumber"/>
      </w:pPr>
      <w:r/>
      <w:r>
        <w:rPr>
          <w:b/>
        </w:rPr>
        <w:t>Copper outperforming gold</w:t>
      </w:r>
      <w:r>
        <w:t xml:space="preserve">: FX_CMD1 </w:t>
      </w:r>
      <w:r>
        <w:rPr>
          <w:rFonts w:ascii="Consolas" w:hAnsi="Consolas"/>
          <w:color w:val="8B0000"/>
          <w:sz w:val="16"/>
        </w:rPr>
        <w:t>pro-growth</w:t>
      </w:r>
      <w:r/>
    </w:p>
    <w:p>
      <w:pPr>
        <w:pStyle w:val="Heading1"/>
      </w:pPr>
      <w:r>
        <w:t>Naturally Leading Indicators</w:t>
      </w:r>
    </w:p>
    <w:p>
      <w:pPr/>
      <w:r>
        <w:t>These indicators are flagged as naturally leading — their current reading already embeds a forward signal: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40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Lead Mechanism</w:t>
            </w:r>
          </w:p>
        </w:tc>
        <w:tc>
          <w:tcPr>
            <w:tcW w:type="dxa" w:w="3408"/>
            <w:shd w:fill="2F5496" w:val="clea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Typical Lead Time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US_R1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Yield curve leads recession by 12-18 months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12-18 months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US_JOBS1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Initial claims lead payroll deterioration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2-4 months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US_HOUS1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Building permits lead construction employment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6-9 months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US_ISM1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New orders lead industrial production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3-6 months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US_M2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Money supply leads nominal GDP and asset prices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3-6 months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FX_2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JPY carry move precedes equity/EM impact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Days to 2-4 weeks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GL_CLI5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CLIs are themselves forward-looking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6-9 months</w:t>
            </w:r>
          </w:p>
        </w:tc>
      </w:tr>
      <w:tr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GL_CLI2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CLI differential leads relative equity returns</w:t>
            </w:r>
          </w:p>
        </w:tc>
        <w:tc>
          <w:tcPr>
            <w:tcW w:type="dxa" w:w="3408"/>
            <w:shd w:fill="D6E4F0" w:val="clear"/>
          </w:tcPr>
          <w:p>
            <w:r>
              <w:rPr>
                <w:sz w:val="16"/>
              </w:rPr>
              <w:t>6-9 months</w:t>
            </w:r>
          </w:p>
        </w:tc>
      </w:tr>
    </w:tbl>
    <w:p/>
    <w:p>
      <w:pPr/>
      <w:r/>
      <w:r>
        <w:rPr>
          <w:i/>
        </w:rPr>
        <w:t>End of Cheat Sheet — companion to the Indicator Manual (68 indicators)</w:t>
      </w:r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