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Macro-Market Indicator Cheat Sheet</w:t>
      </w:r>
    </w:p>
    <w:p>
      <w:pPr/>
      <w:r/>
      <w:r>
        <w:rPr>
          <w:b/>
        </w:rPr>
        <w:t>68 indicators | 156-week (3-year) rolling z-score | CSV-driven architecture</w:t>
      </w:r>
      <w:r/>
    </w:p>
    <w:p>
      <w:pPr/>
      <w:r/>
      <w:r>
        <w:rPr>
          <w:b/>
        </w:rPr>
        <w:t>Date: 2026-04-08</w:t>
      </w:r>
      <w:r/>
    </w:p>
    <w:p>
      <w:pPr/>
      <w:r>
        <w:t xml:space="preserve">This cheat sheet is a quick-reference companion to the full </w:t>
      </w:r>
      <w:r>
        <w:rPr>
          <w:i/>
        </w:rPr>
        <w:t>Indicator Manual</w:t>
      </w:r>
      <w:r>
        <w:t>. It covers every indicator's regime rules, threshold logic, and narrative themes — designed to support blog idea generation, regime commentary, and snapshot interpretation at a glance.</w:t>
      </w:r>
    </w:p>
    <w:p>
      <w:pPr>
        <w:pStyle w:val="Heading1"/>
      </w:pPr>
      <w:r>
        <w:t>How to Read This Document</w:t>
      </w:r>
    </w:p>
    <w:p>
      <w:pPr>
        <w:pStyle w:val="ListBullet"/>
      </w:pPr>
      <w:r/>
      <w:r>
        <w:rPr>
          <w:b/>
        </w:rPr>
        <w:t>Standard regime</w:t>
      </w:r>
      <w:r>
        <w:t>: z &gt; +1 / -1 to +1 / z &lt; -1 (most indicators)</w:t>
      </w:r>
    </w:p>
    <w:p>
      <w:pPr>
        <w:pStyle w:val="ListBullet"/>
      </w:pPr>
      <w:r/>
      <w:r>
        <w:rPr>
          <w:b/>
        </w:rPr>
        <w:t>Non-standard</w:t>
      </w:r>
      <w:r>
        <w:t>: marked with a dagger (</w:t>
      </w:r>
      <w:r>
        <w:rPr>
          <w:b/>
        </w:rPr>
        <w:t>+</w:t>
      </w:r>
      <w:r>
        <w:t>) — uses absolute levels, asymmetric thresholds, or fraction-based logic</w:t>
      </w:r>
    </w:p>
    <w:p>
      <w:pPr>
        <w:pStyle w:val="ListBullet"/>
      </w:pPr>
      <w:r/>
      <w:r>
        <w:rPr>
          <w:b/>
        </w:rPr>
        <w:t>Forward regime</w:t>
      </w:r>
      <w:r>
        <w:t xml:space="preserve">: </w:t>
      </w:r>
      <w:r>
        <w:rPr>
          <w:rFonts w:ascii="Consolas" w:hAnsi="Consolas"/>
          <w:color w:val="8B0000"/>
          <w:sz w:val="16"/>
        </w:rPr>
        <w:t>improving</w:t>
      </w:r>
      <w:r>
        <w:t xml:space="preserve"> / </w:t>
      </w:r>
      <w:r>
        <w:rPr>
          <w:rFonts w:ascii="Consolas" w:hAnsi="Consolas"/>
          <w:color w:val="8B0000"/>
          <w:sz w:val="16"/>
        </w:rPr>
        <w:t>stable</w:t>
      </w:r>
      <w:r>
        <w:t xml:space="preserve"> / </w:t>
      </w:r>
      <w:r>
        <w:rPr>
          <w:rFonts w:ascii="Consolas" w:hAnsi="Consolas"/>
          <w:color w:val="8B0000"/>
          <w:sz w:val="16"/>
        </w:rPr>
        <w:t>deteriorating</w:t>
      </w:r>
      <w:r>
        <w:t xml:space="preserve">, with </w:t>
      </w:r>
      <w:r>
        <w:rPr>
          <w:rFonts w:ascii="Consolas" w:hAnsi="Consolas"/>
          <w:color w:val="8B0000"/>
          <w:sz w:val="16"/>
        </w:rPr>
        <w:t>[leading]</w:t>
      </w:r>
      <w:r>
        <w:t xml:space="preserve"> suffix for naturally leading indicators</w:t>
      </w:r>
    </w:p>
    <w:p>
      <w:pPr>
        <w:pStyle w:val="ListBullet"/>
      </w:pPr>
      <w:r/>
      <w:r>
        <w:rPr>
          <w:b/>
        </w:rPr>
        <w:t>Narrative themes</w:t>
      </w:r>
      <w:r>
        <w:t>: short phrases for blog/commentary framing when the indicator is in an extreme regime</w:t>
      </w:r>
    </w:p>
    <w:p>
      <w:pPr>
        <w:pStyle w:val="Heading1"/>
      </w:pPr>
      <w:r>
        <w:t>1. US (34 indicators)</w:t>
      </w:r>
    </w:p>
    <w:p>
      <w:pPr>
        <w:pStyle w:val="Heading2"/>
      </w:pPr>
      <w:r>
        <w:t>Equity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Positive Label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Neutral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Negative Label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US_G1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Cyclicals vs Defensives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`pro-growth`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`neutral`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`defensive`</w:t>
            </w:r>
          </w:p>
        </w:tc>
      </w:tr>
      <w:tr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US_G2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Broader Cyclicals vs Defensives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`risk-on`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`neutral`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`late-cycle`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US_G3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Banks vs Utilities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`risk-on`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`neutral`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`defensive`</w:t>
            </w:r>
          </w:p>
        </w:tc>
      </w:tr>
      <w:tr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US_G5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Technology Leadership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`tech-led`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`neutral`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`defensive-rotation`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US_G4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Market Breadth (RSP/SPY)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`broad-rally`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`neutral`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`narrow-concentrated`</w:t>
            </w:r>
          </w:p>
        </w:tc>
      </w:tr>
    </w:tbl>
    <w:p/>
    <w:p>
      <w:pPr>
        <w:pStyle w:val="Heading2"/>
      </w:pPr>
      <w:r>
        <w:t>Equity - Factor (Style)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Positive Label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Neutral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Negative Label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US_EQ_F1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Value vs Growth (Russell)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`value-regime`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`mixed`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`growth-regime`</w:t>
            </w:r>
          </w:p>
        </w:tc>
      </w:tr>
      <w:tr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US_EQ_F2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Value vs Growth (S&amp;P)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*mirrors US_EQ_F1*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Equity - Factor (Size)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Positive Label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Neutral</w:t>
            </w:r>
          </w:p>
        </w:tc>
        <w:tc>
          <w:tcPr>
            <w:tcW w:type="dxa" w:w="1704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Negative Label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US_EQ_F3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Size Cycle (Russell)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`small-cap-lead`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`neutral`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`large-cap-safety`</w:t>
            </w:r>
          </w:p>
        </w:tc>
      </w:tr>
      <w:tr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US_EQ_F4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Size Cycle (S&amp;P)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  <w:t>*mirrors US_EQ_F3*</w:t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</w:r>
          </w:p>
        </w:tc>
        <w:tc>
          <w:tcPr>
            <w:tcW w:type="dxa" w:w="1704"/>
            <w:shd w:fill="D6E4F0" w:val="clear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CrossAsset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US_CA_G1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Risk-On vs Risk-Off (SPY/GOVT)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`risk-on` / `neutral` / `risk-off`</w:t>
            </w:r>
          </w:p>
        </w:tc>
      </w:tr>
    </w:tbl>
    <w:p/>
    <w:p>
      <w:pPr>
        <w:pStyle w:val="Heading2"/>
      </w:pPr>
      <w:r>
        <w:t>Credit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US_Cr2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HY Credit Spread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&gt;800bps or z&gt;+2: `opportunity`; &gt;500bps &amp; z&gt;+1: `stress`; 400-600 &amp;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US_Cr1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IG Credit Spread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`ig-stress` / `normal` / `ig-compressed`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US_Cr3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HY-IG Differential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`credit-stress` / `normal` / `credit-compressed`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US_Cr4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HY vs Treasuries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`hy-risk-on` / `neutral` / `hy-risk-off`</w:t>
            </w:r>
          </w:p>
        </w:tc>
      </w:tr>
    </w:tbl>
    <w:p/>
    <w:p>
      <w:pPr>
        <w:pStyle w:val="Heading2"/>
      </w:pPr>
      <w:r>
        <w:t>Rates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US_R1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Yield Curve 10Y-3M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Spread &lt; 0: `recession-watch`; &gt; 0 &amp; z &gt; +1: `early-cycle`; &gt; 0 &amp;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US_R2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Yield Curve 2s10s (FRED)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*mirrors US_R1 interpretation*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US_R3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Yield Curve 2s10s (Market)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*mirrors US_R1 interpretation*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Rates - Inflation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US_R4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10Y Breakeven Inflation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`inflation-elevated` / `neutral` / `disinflation`</w:t>
            </w:r>
          </w:p>
        </w:tc>
      </w:tr>
    </w:tbl>
    <w:p/>
    <w:p>
      <w:pPr>
        <w:pStyle w:val="Heading2"/>
      </w:pPr>
      <w:r>
        <w:t>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US_R5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Real Rates (TIPS 10Y)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`high-real-rates` / `normal` / `low-real-rates`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US_R6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Mortgage Credit Spread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`mortgage-stress` / `normal` / `mortgage-easing`</w:t>
            </w:r>
          </w:p>
        </w:tc>
      </w:tr>
    </w:tbl>
    <w:p/>
    <w:p>
      <w:pPr>
        <w:pStyle w:val="Heading2"/>
      </w:pPr>
      <w:r>
        <w:t>Volatility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US_V1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VIX Term Structure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VIX3M - VIX &lt; 0: `stress`; &gt; 0 &amp; z &lt; -1: `complacency`; &gt; 0 &amp;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US_V2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MOVE/VIX Ratio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`rates-vol-elevated` / `normal` / `equity-vol-elevated`</w:t>
            </w:r>
          </w:p>
        </w:tc>
      </w:tr>
    </w:tbl>
    <w:p/>
    <w:p>
      <w:pPr>
        <w:pStyle w:val="Heading2"/>
      </w:pPr>
      <w:r>
        <w:t>Macro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US_JOBS1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Initial Jobless Claims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`labour-deteriorating` / `stable` / `labour-tight`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US_JOBS3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Labour Market Composite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`labour-strong` / `labour-balanced` / `labour-weak`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US_G6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Real Activity Composite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`strong-growth` / `normal` / `weak-growth`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US_HOUS1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Housing / Building Permits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`housing-expanding` / `neutral` / `housing-contracting`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US_M2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M2 Money Supply Growth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`abundant-liquidity` / `neutral` / `tight-liquidity`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US_JOBS2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JOLTS Tightness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`labour-tight` / `balanced` / `labour-slack`</w:t>
            </w:r>
          </w:p>
        </w:tc>
      </w:tr>
    </w:tbl>
    <w:p/>
    <w:p>
      <w:pPr>
        <w:pStyle w:val="Heading2"/>
      </w:pPr>
      <w:r>
        <w:t>Macro -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US_ISM1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ISM Mfg New Orders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Level &gt; 52: `ism-expansion`; 48-52: `ism-neutral`; &lt; 48: `ism-contraction`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Absolute level thresholds</w:t>
            </w:r>
          </w:p>
        </w:tc>
      </w:tr>
    </w:tbl>
    <w:p/>
    <w:p>
      <w:pPr>
        <w:pStyle w:val="Heading2"/>
      </w:pPr>
      <w:r>
        <w:t>Mmtm - Equity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 Equity Trend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log ratio &gt; 0 / &lt; 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`trend-up` / `trend-down`</w:t>
            </w:r>
          </w:p>
        </w:tc>
      </w:tr>
    </w:tbl>
    <w:p/>
    <w:p>
      <w:pPr>
        <w:pStyle w:val="Heading2"/>
      </w:pPr>
      <w:r>
        <w:t>Mmtm - CrossAsset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Multi-Asset Trend Breadth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&gt;= 0.6 / 0.4-0.6 / &lt;= 0.4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`risk-on` / `mixed` / `risk-off`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Dual Momentum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Rule-based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`US-equity-regime` / `global-equity-regime` / `bond-regime`</w:t>
            </w:r>
          </w:p>
        </w:tc>
      </w:tr>
    </w:tbl>
    <w:p/>
    <w:p>
      <w:pPr>
        <w:pStyle w:val="Heading2"/>
      </w:pPr>
      <w:r>
        <w:t>Mmtm - Credit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M4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HY Trend + Spread Override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log &gt; 0 AND OAS &lt;= 600: `carry-regime`; else: `stress-regime`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Level override at 600bps</w:t>
            </w:r>
          </w:p>
        </w:tc>
      </w:tr>
    </w:tbl>
    <w:p/>
    <w:p>
      <w:pPr>
        <w:pStyle w:val="Heading2"/>
      </w:pPr>
      <w:r>
        <w:t>Mmtm - Volatility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M5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VIX Regime Filter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log ratio &lt; 0 / &gt; 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`vol-compressing` / `vol-expanding`</w:t>
            </w:r>
          </w:p>
        </w:tc>
      </w:tr>
    </w:tbl>
    <w:p/>
    <w:p>
      <w:pPr/>
      <w:r/>
      <w:r>
        <w:rPr>
          <w:b/>
        </w:rPr>
        <w:t>Narrative themes:</w:t>
      </w:r>
      <w:r/>
    </w:p>
    <w:p>
      <w:pPr>
        <w:pStyle w:val="ListBullet"/>
      </w:pPr>
      <w:r/>
      <w:r>
        <w:rPr>
          <w:i/>
        </w:rPr>
        <w:t>Growth rotation</w:t>
      </w:r>
      <w:r>
        <w:t xml:space="preserve">: US_G1 + US_G2 both </w:t>
      </w:r>
      <w:r>
        <w:rPr>
          <w:rFonts w:ascii="Consolas" w:hAnsi="Consolas"/>
          <w:color w:val="8B0000"/>
          <w:sz w:val="16"/>
        </w:rPr>
        <w:t>pro-growth</w:t>
      </w:r>
      <w:r>
        <w:t xml:space="preserve"> / </w:t>
      </w:r>
      <w:r>
        <w:rPr>
          <w:rFonts w:ascii="Consolas" w:hAnsi="Consolas"/>
          <w:color w:val="8B0000"/>
          <w:sz w:val="16"/>
        </w:rPr>
        <w:t>risk-on</w:t>
      </w:r>
      <w:r>
        <w:t xml:space="preserve"> = broad cyclical recovery; strongest when combined with steepening yield curve (US_R1)</w:t>
      </w:r>
    </w:p>
    <w:p>
      <w:pPr>
        <w:pStyle w:val="ListBullet"/>
      </w:pPr>
      <w:r/>
      <w:r>
        <w:rPr>
          <w:i/>
        </w:rPr>
        <w:t>Narrow market</w:t>
      </w:r>
      <w:r>
        <w:t xml:space="preserve">: US_G4 </w:t>
      </w:r>
      <w:r>
        <w:rPr>
          <w:rFonts w:ascii="Consolas" w:hAnsi="Consolas"/>
          <w:color w:val="8B0000"/>
          <w:sz w:val="16"/>
        </w:rPr>
        <w:t>narrow-concentrated</w:t>
      </w:r>
      <w:r>
        <w:t xml:space="preserve"> + US_G5 </w:t>
      </w:r>
      <w:r>
        <w:rPr>
          <w:rFonts w:ascii="Consolas" w:hAnsi="Consolas"/>
          <w:color w:val="8B0000"/>
          <w:sz w:val="16"/>
        </w:rPr>
        <w:t>tech-led</w:t>
      </w:r>
      <w:r>
        <w:t xml:space="preserve"> = mega-cap tech carrying the market; fragile if rates rise</w:t>
      </w:r>
    </w:p>
    <w:p>
      <w:pPr>
        <w:pStyle w:val="ListBullet"/>
      </w:pPr>
      <w:r/>
      <w:r>
        <w:rPr>
          <w:i/>
        </w:rPr>
        <w:t>Value revival</w:t>
      </w:r>
      <w:r>
        <w:t xml:space="preserve">: US_EQ_F1 </w:t>
      </w:r>
      <w:r>
        <w:rPr>
          <w:rFonts w:ascii="Consolas" w:hAnsi="Consolas"/>
          <w:color w:val="8B0000"/>
          <w:sz w:val="16"/>
        </w:rPr>
        <w:t>value-regime</w:t>
      </w:r>
      <w:r>
        <w:t xml:space="preserve"> + US_G3 </w:t>
      </w:r>
      <w:r>
        <w:rPr>
          <w:rFonts w:ascii="Consolas" w:hAnsi="Consolas"/>
          <w:color w:val="8B0000"/>
          <w:sz w:val="16"/>
        </w:rPr>
        <w:t>risk-on</w:t>
      </w:r>
      <w:r>
        <w:t xml:space="preserve"> (banks leading) = interest-rate-sensitive value rotation; typical in early/mid cycle</w:t>
      </w:r>
    </w:p>
    <w:p>
      <w:pPr>
        <w:pStyle w:val="ListBullet"/>
      </w:pPr>
      <w:r/>
      <w:r>
        <w:rPr>
          <w:i/>
        </w:rPr>
        <w:t>Credit stress cascade</w:t>
      </w:r>
      <w:r>
        <w:t xml:space="preserve">: US_Cr2 </w:t>
      </w:r>
      <w:r>
        <w:rPr>
          <w:rFonts w:ascii="Consolas" w:hAnsi="Consolas"/>
          <w:color w:val="8B0000"/>
          <w:sz w:val="16"/>
        </w:rPr>
        <w:t>stress</w:t>
      </w:r>
      <w:r>
        <w:t xml:space="preserve"> + US_V1 </w:t>
      </w:r>
      <w:r>
        <w:rPr>
          <w:rFonts w:ascii="Consolas" w:hAnsi="Consolas"/>
          <w:color w:val="8B0000"/>
          <w:sz w:val="16"/>
        </w:rPr>
        <w:t>stress</w:t>
      </w:r>
      <w:r>
        <w:t xml:space="preserve"> (inverted vol curve) = active deleveraging; watch FX_2 (carry unwind) for global transmission</w:t>
      </w:r>
    </w:p>
    <w:p>
      <w:pPr>
        <w:pStyle w:val="ListBullet"/>
      </w:pPr>
      <w:r/>
      <w:r>
        <w:rPr>
          <w:i/>
        </w:rPr>
        <w:t>Yield curve inversion alert</w:t>
      </w:r>
      <w:r>
        <w:t xml:space="preserve">: US_R1 </w:t>
      </w:r>
      <w:r>
        <w:rPr>
          <w:rFonts w:ascii="Consolas" w:hAnsi="Consolas"/>
          <w:color w:val="8B0000"/>
          <w:sz w:val="16"/>
        </w:rPr>
        <w:t>recession-watch</w:t>
      </w:r>
      <w:r>
        <w:t xml:space="preserve"> = the single most historically reliable recession predictor; strongest when sustained &gt; 3 months</w:t>
      </w:r>
    </w:p>
    <w:p>
      <w:pPr>
        <w:pStyle w:val="ListBullet"/>
      </w:pPr>
      <w:r/>
      <w:r>
        <w:rPr>
          <w:i/>
        </w:rPr>
        <w:t>Hard landing signals</w:t>
      </w:r>
      <w:r>
        <w:t xml:space="preserve">: US_JOBS1 </w:t>
      </w:r>
      <w:r>
        <w:rPr>
          <w:rFonts w:ascii="Consolas" w:hAnsi="Consolas"/>
          <w:color w:val="8B0000"/>
          <w:sz w:val="16"/>
        </w:rPr>
        <w:t>labour-deteriorating</w:t>
      </w:r>
      <w:r>
        <w:t xml:space="preserve"> + US_G6 </w:t>
      </w:r>
      <w:r>
        <w:rPr>
          <w:rFonts w:ascii="Consolas" w:hAnsi="Consolas"/>
          <w:color w:val="8B0000"/>
          <w:sz w:val="16"/>
        </w:rPr>
        <w:t>weak-growth</w:t>
      </w:r>
      <w:r>
        <w:t xml:space="preserve"> + US_ISM1 </w:t>
      </w:r>
      <w:r>
        <w:rPr>
          <w:rFonts w:ascii="Consolas" w:hAnsi="Consolas"/>
          <w:color w:val="8B0000"/>
          <w:sz w:val="16"/>
        </w:rPr>
        <w:t>ism-contraction</w:t>
      </w:r>
      <w:r>
        <w:t xml:space="preserve"> = recession probability elevated</w:t>
      </w:r>
    </w:p>
    <w:p>
      <w:pPr>
        <w:pStyle w:val="ListBullet"/>
      </w:pPr>
      <w:r/>
      <w:r>
        <w:rPr>
          <w:i/>
        </w:rPr>
        <w:t>Momentum alignment</w:t>
      </w:r>
      <w:r>
        <w:t xml:space="preserve">: M1 </w:t>
      </w:r>
      <w:r>
        <w:rPr>
          <w:rFonts w:ascii="Consolas" w:hAnsi="Consolas"/>
          <w:color w:val="8B0000"/>
          <w:sz w:val="16"/>
        </w:rPr>
        <w:t>trend-up</w:t>
      </w:r>
      <w:r>
        <w:t xml:space="preserve"> + M2 </w:t>
      </w:r>
      <w:r>
        <w:rPr>
          <w:rFonts w:ascii="Consolas" w:hAnsi="Consolas"/>
          <w:color w:val="8B0000"/>
          <w:sz w:val="16"/>
        </w:rPr>
        <w:t>risk-on</w:t>
      </w:r>
      <w:r>
        <w:t xml:space="preserve"> + M4 </w:t>
      </w:r>
      <w:r>
        <w:rPr>
          <w:rFonts w:ascii="Consolas" w:hAnsi="Consolas"/>
          <w:color w:val="8B0000"/>
          <w:sz w:val="16"/>
        </w:rPr>
        <w:t>carry-regime</w:t>
      </w:r>
      <w:r>
        <w:t xml:space="preserve"> = all trend signals confirming risk-on</w:t>
      </w:r>
    </w:p>
    <w:p>
      <w:pPr>
        <w:pStyle w:val="Heading1"/>
      </w:pPr>
      <w:r>
        <w:t>2. UK (4 indicators)</w:t>
      </w:r>
    </w:p>
    <w:p>
      <w:pPr>
        <w:pStyle w:val="Heading2"/>
      </w:pPr>
      <w:r>
        <w:t>Equity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UK_G1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UK Domestic vs Global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`uk-domestic-strength` / `neutral` / `uk-global-preference`</w:t>
            </w:r>
          </w:p>
        </w:tc>
      </w:tr>
    </w:tbl>
    <w:p/>
    <w:p>
      <w:pPr>
        <w:pStyle w:val="Heading2"/>
      </w:pPr>
      <w:r>
        <w:t>Credit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UK_Cr1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UK Credit Conditions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`uk-credit-appetite` / `neutral` / `uk-flight-to-quality`</w:t>
            </w:r>
          </w:p>
        </w:tc>
      </w:tr>
    </w:tbl>
    <w:p/>
    <w:p>
      <w:pPr>
        <w:pStyle w:val="Heading2"/>
      </w:pPr>
      <w:r>
        <w:t>Rates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UK_R1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UK-Germany 10Y Spread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`uk-risk-premium` / `normal` / `uk-relative-strength`</w:t>
            </w:r>
          </w:p>
        </w:tc>
      </w:tr>
    </w:tbl>
    <w:p/>
    <w:p>
      <w:pPr>
        <w:pStyle w:val="Heading2"/>
      </w:pPr>
      <w:r>
        <w:t>Rates - Inflation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UK_R2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UK Inflation Expectations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`uk-inflation-elevated` / `neutral` / `uk-disinflation`</w:t>
            </w:r>
          </w:p>
        </w:tc>
      </w:tr>
    </w:tbl>
    <w:p/>
    <w:p>
      <w:pPr/>
      <w:r/>
      <w:r>
        <w:rPr>
          <w:b/>
        </w:rPr>
        <w:t>Narrative themes:</w:t>
      </w:r>
      <w:r/>
    </w:p>
    <w:p>
      <w:pPr>
        <w:pStyle w:val="ListBullet"/>
      </w:pPr>
      <w:r/>
      <w:r>
        <w:rPr>
          <w:i/>
        </w:rPr>
        <w:t>Brexit Britain recovery</w:t>
      </w:r>
      <w:r>
        <w:t xml:space="preserve">: UK_G1 </w:t>
      </w:r>
      <w:r>
        <w:rPr>
          <w:rFonts w:ascii="Consolas" w:hAnsi="Consolas"/>
          <w:color w:val="8B0000"/>
          <w:sz w:val="16"/>
        </w:rPr>
        <w:t>uk-domestic-strength</w:t>
      </w:r>
      <w:r>
        <w:t xml:space="preserve"> + UK_Cr1 </w:t>
      </w:r>
      <w:r>
        <w:rPr>
          <w:rFonts w:ascii="Consolas" w:hAnsi="Consolas"/>
          <w:color w:val="8B0000"/>
          <w:sz w:val="16"/>
        </w:rPr>
        <w:t>uk-credit-appetite</w:t>
      </w:r>
      <w:r>
        <w:t xml:space="preserve"> = UK-specific domestic recovery; often driven by housing and consumer credit</w:t>
      </w:r>
    </w:p>
    <w:p>
      <w:pPr>
        <w:pStyle w:val="ListBullet"/>
      </w:pPr>
      <w:r/>
      <w:r>
        <w:rPr>
          <w:i/>
        </w:rPr>
        <w:t>UK inflation problem</w:t>
      </w:r>
      <w:r>
        <w:t xml:space="preserve">: UK_R2 </w:t>
      </w:r>
      <w:r>
        <w:rPr>
          <w:rFonts w:ascii="Consolas" w:hAnsi="Consolas"/>
          <w:color w:val="8B0000"/>
          <w:sz w:val="16"/>
        </w:rPr>
        <w:t>uk-inflation-elevated</w:t>
      </w:r>
      <w:r>
        <w:t xml:space="preserve"> + UK_R1 </w:t>
      </w:r>
      <w:r>
        <w:rPr>
          <w:rFonts w:ascii="Consolas" w:hAnsi="Consolas"/>
          <w:color w:val="8B0000"/>
          <w:sz w:val="16"/>
        </w:rPr>
        <w:t>uk-risk-premium</w:t>
      </w:r>
      <w:r>
        <w:t xml:space="preserve"> = BoE credibility under pressure; negative for gilts</w:t>
      </w:r>
    </w:p>
    <w:p>
      <w:pPr>
        <w:pStyle w:val="Heading1"/>
      </w:pPr>
      <w:r>
        <w:t>3. Europe (7 indicators)</w:t>
      </w:r>
    </w:p>
    <w:p>
      <w:pPr>
        <w:pStyle w:val="Heading2"/>
      </w:pPr>
      <w:r>
        <w:t>Equity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EU_G3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European Cyclicals vs Defensives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`pro-growth-europe` / `neutral` / `defensive-europe`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EU_G2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Eurozone vs US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`eurozone-outperform` / `neutral` / `us-dominance`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EU_G4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EUR Macro Composite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`eurozone-macro-strong` / `neutral` / `eurozone-under-strain`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EU_G1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Eurozone vs Global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`eurozone-outperform` / `neutral` / `eurozone-underperform`</w:t>
            </w:r>
          </w:p>
        </w:tc>
      </w:tr>
    </w:tbl>
    <w:p/>
    <w:p>
      <w:pPr>
        <w:pStyle w:val="Heading2"/>
      </w:pPr>
      <w:r>
        <w:t>Credit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EU_Cr1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Euro IG Spread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`euro-credit-stress` / `normal` / `compressed-spreads`</w:t>
            </w:r>
          </w:p>
        </w:tc>
      </w:tr>
    </w:tbl>
    <w:p/>
    <w:p>
      <w:pPr>
        <w:pStyle w:val="Heading2"/>
      </w:pPr>
      <w:r>
        <w:t>Rates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EU_R1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BTP-Bund Spread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Raw &gt; 2.5% or z &gt; +1.5: `peripheral-stress`;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</w:t>
            </w:r>
          </w:p>
        </w:tc>
      </w:tr>
    </w:tbl>
    <w:p/>
    <w:p>
      <w:pPr>
        <w:pStyle w:val="Heading2"/>
      </w:pPr>
      <w:r>
        <w:t>CLI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EU_CLI1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Europe Block CLI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CLI &gt; 100 &amp; z &gt; +1: `EU-above-trend`; CLI ~ 100 &amp;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</w:t>
            </w:r>
          </w:p>
        </w:tc>
      </w:tr>
    </w:tbl>
    <w:p/>
    <w:p>
      <w:pPr/>
      <w:r/>
      <w:r>
        <w:rPr>
          <w:b/>
        </w:rPr>
        <w:t>Narrative themes:</w:t>
      </w:r>
      <w:r/>
    </w:p>
    <w:p>
      <w:pPr>
        <w:pStyle w:val="ListBullet"/>
      </w:pPr>
      <w:r/>
      <w:r>
        <w:rPr>
          <w:i/>
        </w:rPr>
        <w:t>Europe awakening</w:t>
      </w:r>
      <w:r>
        <w:t xml:space="preserve">: EU_G1 </w:t>
      </w:r>
      <w:r>
        <w:rPr>
          <w:rFonts w:ascii="Consolas" w:hAnsi="Consolas"/>
          <w:color w:val="8B0000"/>
          <w:sz w:val="16"/>
        </w:rPr>
        <w:t>eurozone-outperform</w:t>
      </w:r>
      <w:r>
        <w:t xml:space="preserve"> + EU_G3 </w:t>
      </w:r>
      <w:r>
        <w:rPr>
          <w:rFonts w:ascii="Consolas" w:hAnsi="Consolas"/>
          <w:color w:val="8B0000"/>
          <w:sz w:val="16"/>
        </w:rPr>
        <w:t>pro-growth-europe</w:t>
      </w:r>
      <w:r>
        <w:t xml:space="preserve"> + EU_G4 </w:t>
      </w:r>
      <w:r>
        <w:rPr>
          <w:rFonts w:ascii="Consolas" w:hAnsi="Consolas"/>
          <w:color w:val="8B0000"/>
          <w:sz w:val="16"/>
        </w:rPr>
        <w:t>eurozone-macro-strong</w:t>
      </w:r>
      <w:r>
        <w:t xml:space="preserve"> = rare but powerful European bull signal; strongest when EU_R1 </w:t>
      </w:r>
      <w:r>
        <w:rPr>
          <w:rFonts w:ascii="Consolas" w:hAnsi="Consolas"/>
          <w:color w:val="8B0000"/>
          <w:sz w:val="16"/>
        </w:rPr>
        <w:t>compressed</w:t>
      </w:r>
      <w:r/>
    </w:p>
    <w:p>
      <w:pPr>
        <w:pStyle w:val="ListBullet"/>
      </w:pPr>
      <w:r/>
      <w:r>
        <w:rPr>
          <w:i/>
        </w:rPr>
        <w:t>Peripheral risk</w:t>
      </w:r>
      <w:r>
        <w:t xml:space="preserve">: EU_R1 </w:t>
      </w:r>
      <w:r>
        <w:rPr>
          <w:rFonts w:ascii="Consolas" w:hAnsi="Consolas"/>
          <w:color w:val="8B0000"/>
          <w:sz w:val="16"/>
        </w:rPr>
        <w:t>peripheral-stress</w:t>
      </w:r>
      <w:r>
        <w:t xml:space="preserve"> = Italian sovereign risk repricing; contagion risk to European banks</w:t>
      </w:r>
    </w:p>
    <w:p>
      <w:pPr>
        <w:pStyle w:val="ListBullet"/>
      </w:pPr>
      <w:r/>
      <w:r>
        <w:rPr>
          <w:i/>
        </w:rPr>
        <w:t>EUR credibility</w:t>
      </w:r>
      <w:r>
        <w:t xml:space="preserve">: EU_G2 </w:t>
      </w:r>
      <w:r>
        <w:rPr>
          <w:rFonts w:ascii="Consolas" w:hAnsi="Consolas"/>
          <w:color w:val="8B0000"/>
          <w:sz w:val="16"/>
        </w:rPr>
        <w:t>eurozone-outperform</w:t>
      </w:r>
      <w:r>
        <w:t xml:space="preserve"> vs US + EU_G4 </w:t>
      </w:r>
      <w:r>
        <w:rPr>
          <w:rFonts w:ascii="Consolas" w:hAnsi="Consolas"/>
          <w:color w:val="8B0000"/>
          <w:sz w:val="16"/>
        </w:rPr>
        <w:t>eurozone-macro-strong</w:t>
      </w:r>
      <w:r>
        <w:t xml:space="preserve"> = genuine European fundamental improvement, not just USD weakness</w:t>
      </w:r>
    </w:p>
    <w:p>
      <w:pPr>
        <w:pStyle w:val="Heading1"/>
      </w:pPr>
      <w:r>
        <w:t>4. Japan (1 indicator)</w:t>
      </w:r>
    </w:p>
    <w:p>
      <w:pPr>
        <w:pStyle w:val="Heading2"/>
      </w:pPr>
      <w:r>
        <w:t>Equity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JP_G1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Japan vs Global Equities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`japan-outperform` / `neutral` / `japan-underperform`</w:t>
            </w:r>
          </w:p>
        </w:tc>
      </w:tr>
    </w:tbl>
    <w:p/>
    <w:p>
      <w:pPr/>
      <w:r/>
      <w:r>
        <w:rPr>
          <w:b/>
        </w:rPr>
        <w:t>Narrative themes:</w:t>
      </w:r>
      <w:r/>
    </w:p>
    <w:p>
      <w:pPr>
        <w:pStyle w:val="ListBullet"/>
      </w:pPr>
      <w:r/>
      <w:r>
        <w:rPr>
          <w:i/>
        </w:rPr>
        <w:t>Japan + carry alignment</w:t>
      </w:r>
      <w:r>
        <w:t xml:space="preserve">: JP_G1 </w:t>
      </w:r>
      <w:r>
        <w:rPr>
          <w:rFonts w:ascii="Consolas" w:hAnsi="Consolas"/>
          <w:color w:val="8B0000"/>
          <w:sz w:val="16"/>
        </w:rPr>
        <w:t>japan-outperform</w:t>
      </w:r>
      <w:r>
        <w:t xml:space="preserve"> + FX_2 </w:t>
      </w:r>
      <w:r>
        <w:rPr>
          <w:rFonts w:ascii="Consolas" w:hAnsi="Consolas"/>
          <w:color w:val="8B0000"/>
          <w:sz w:val="16"/>
        </w:rPr>
        <w:t>carry-on</w:t>
      </w:r>
      <w:r>
        <w:t xml:space="preserve"> = carry trade ON and Japanese export earnings supportive</w:t>
      </w:r>
    </w:p>
    <w:p>
      <w:pPr>
        <w:pStyle w:val="ListBullet"/>
      </w:pPr>
      <w:r/>
      <w:r>
        <w:rPr>
          <w:i/>
        </w:rPr>
        <w:t>Domestically-driven Japan</w:t>
      </w:r>
      <w:r>
        <w:t>: JP_G1 positive + FX_2 negative (JPY strengthening) = rarer but more durable quality expansion</w:t>
      </w:r>
    </w:p>
    <w:p>
      <w:pPr>
        <w:pStyle w:val="Heading1"/>
      </w:pPr>
      <w:r>
        <w:t>5. Asia (7 indicators)</w:t>
      </w:r>
    </w:p>
    <w:p>
      <w:pPr>
        <w:pStyle w:val="Heading2"/>
      </w:pPr>
      <w:r>
        <w:t>CLI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AS_CLI1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Asia-Pacific Block CLI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CLI &gt; 100 &amp; z &gt; +1: `Asia-above-trend`;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</w:t>
            </w:r>
          </w:p>
        </w:tc>
      </w:tr>
    </w:tbl>
    <w:p/>
    <w:p>
      <w:pPr>
        <w:pStyle w:val="Heading2"/>
      </w:pPr>
      <w:r>
        <w:t>China - Equity (Growth)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AS_CN_G2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China vs Global DM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`china-outperform` / `neutral` / `china-underperform`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AS_CN_G1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China vs Broad EM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`china-driving-EM` / `neutral` / `non-china-EM-leading`</w:t>
            </w:r>
          </w:p>
        </w:tc>
      </w:tr>
    </w:tbl>
    <w:p/>
    <w:p>
      <w:pPr>
        <w:pStyle w:val="Heading2"/>
      </w:pPr>
      <w:r>
        <w:t>China - Equity - Factor (Size)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AS_CN_G3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China Size Cycle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`china-domestic-breadth` / `neutral` / `china-large-cap-safety`</w:t>
            </w:r>
          </w:p>
        </w:tc>
      </w:tr>
    </w:tbl>
    <w:p/>
    <w:p>
      <w:pPr>
        <w:pStyle w:val="Heading2"/>
      </w:pPr>
      <w:r>
        <w:t>China -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AS_CN_R1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China-US Yield Spread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`china-carry-attractive` / `neutral` / `china-carry-unattractive`</w:t>
            </w:r>
          </w:p>
        </w:tc>
      </w:tr>
    </w:tbl>
    <w:p/>
    <w:p>
      <w:pPr>
        <w:pStyle w:val="Heading2"/>
      </w:pPr>
      <w:r>
        <w:t>India - Equity - Factor (Size)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AS_IN_G1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India Domestic Growth Breadth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`india-domestic-expansion` / `neutral` / `india-large-cap-safety`</w:t>
            </w:r>
          </w:p>
        </w:tc>
      </w:tr>
    </w:tbl>
    <w:p/>
    <w:p>
      <w:pPr>
        <w:pStyle w:val="Heading2"/>
      </w:pPr>
      <w:r>
        <w:t>India -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AS_IN_R1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India-US Yield Spread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`india-carry-attractive` / `neutral` / `india-carry-unattractive`</w:t>
            </w:r>
          </w:p>
        </w:tc>
      </w:tr>
    </w:tbl>
    <w:p/>
    <w:p>
      <w:pPr/>
      <w:r/>
      <w:r>
        <w:rPr>
          <w:b/>
        </w:rPr>
        <w:t>Narrative themes:</w:t>
      </w:r>
      <w:r/>
    </w:p>
    <w:p>
      <w:pPr>
        <w:pStyle w:val="ListBullet"/>
      </w:pPr>
      <w:r/>
      <w:r>
        <w:rPr>
          <w:i/>
        </w:rPr>
        <w:t>China stimulus trade</w:t>
      </w:r>
      <w:r>
        <w:t xml:space="preserve">: AS_CN_G2 </w:t>
      </w:r>
      <w:r>
        <w:rPr>
          <w:rFonts w:ascii="Consolas" w:hAnsi="Consolas"/>
          <w:color w:val="8B0000"/>
          <w:sz w:val="16"/>
        </w:rPr>
        <w:t>china-outperform</w:t>
      </w:r>
      <w:r>
        <w:t xml:space="preserve"> + AS_CN_G3 </w:t>
      </w:r>
      <w:r>
        <w:rPr>
          <w:rFonts w:ascii="Consolas" w:hAnsi="Consolas"/>
          <w:color w:val="8B0000"/>
          <w:sz w:val="16"/>
        </w:rPr>
        <w:t>china-domestic-breadth</w:t>
      </w:r>
      <w:r>
        <w:t xml:space="preserve"> + FX_CN1 </w:t>
      </w:r>
      <w:r>
        <w:rPr>
          <w:rFonts w:ascii="Consolas" w:hAnsi="Consolas"/>
          <w:color w:val="8B0000"/>
          <w:sz w:val="16"/>
        </w:rPr>
        <w:t>CNY-strengthening</w:t>
      </w:r>
      <w:r>
        <w:t xml:space="preserve"> = trifecta of Chinese recovery</w:t>
      </w:r>
    </w:p>
    <w:p>
      <w:pPr>
        <w:pStyle w:val="ListBullet"/>
      </w:pPr>
      <w:r/>
      <w:r>
        <w:rPr>
          <w:i/>
        </w:rPr>
        <w:t>China vs rest of EM</w:t>
      </w:r>
      <w:r>
        <w:t xml:space="preserve">: AS_CN_G1 </w:t>
      </w:r>
      <w:r>
        <w:rPr>
          <w:rFonts w:ascii="Consolas" w:hAnsi="Consolas"/>
          <w:color w:val="8B0000"/>
          <w:sz w:val="16"/>
        </w:rPr>
        <w:t>china-driving-EM</w:t>
      </w:r>
      <w:r>
        <w:t xml:space="preserve"> = China policy stimulus lifting all boats; </w:t>
      </w:r>
      <w:r>
        <w:rPr>
          <w:rFonts w:ascii="Consolas" w:hAnsi="Consolas"/>
          <w:color w:val="8B0000"/>
          <w:sz w:val="16"/>
        </w:rPr>
        <w:t>non-china-EM-leading</w:t>
      </w:r>
      <w:r>
        <w:t xml:space="preserve"> = India/Korea/Taiwan tech cycle driving EM</w:t>
      </w:r>
    </w:p>
    <w:p>
      <w:pPr>
        <w:pStyle w:val="ListBullet"/>
      </w:pPr>
      <w:r/>
      <w:r>
        <w:rPr>
          <w:i/>
        </w:rPr>
        <w:t>India structural story</w:t>
      </w:r>
      <w:r>
        <w:t xml:space="preserve">: AS_IN_G1 </w:t>
      </w:r>
      <w:r>
        <w:rPr>
          <w:rFonts w:ascii="Consolas" w:hAnsi="Consolas"/>
          <w:color w:val="8B0000"/>
          <w:sz w:val="16"/>
        </w:rPr>
        <w:t>india-domestic-expansion</w:t>
      </w:r>
      <w:r>
        <w:t xml:space="preserve"> + FX_1 </w:t>
      </w:r>
      <w:r>
        <w:rPr>
          <w:rFonts w:ascii="Consolas" w:hAnsi="Consolas"/>
          <w:color w:val="8B0000"/>
          <w:sz w:val="16"/>
        </w:rPr>
        <w:t>INR-strengthening</w:t>
      </w:r>
      <w:r>
        <w:t xml:space="preserve"> = India's domestic-led growth cycle is alive</w:t>
      </w:r>
    </w:p>
    <w:p>
      <w:pPr>
        <w:pStyle w:val="Heading1"/>
      </w:pPr>
      <w:r>
        <w:t>6. Global (6 indicators)</w:t>
      </w:r>
    </w:p>
    <w:p>
      <w:pPr>
        <w:pStyle w:val="Heading2"/>
      </w:pPr>
      <w:r>
        <w:t>CrossAsset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GL_G2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Global Risk Appetite (ACWI/GOVT)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`global-risk-on` / `neutral` / `global-risk-off`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GL_G1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EM vs DM (EEM/URTH)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`EM-outperform` / `neutral` / `DM-outperform`</w:t>
            </w:r>
          </w:p>
        </w:tc>
      </w:tr>
    </w:tbl>
    <w:p/>
    <w:p>
      <w:pPr>
        <w:pStyle w:val="Heading2"/>
      </w:pPr>
      <w:r>
        <w:t>CrossAsset - Inflation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GL_CA_I1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Commodities vs Bonds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`reflation` / `balanced` / `deflation-scare`</w:t>
            </w:r>
          </w:p>
        </w:tc>
      </w:tr>
    </w:tbl>
    <w:p/>
    <w:p>
      <w:pPr>
        <w:pStyle w:val="Heading2"/>
      </w:pPr>
      <w:r>
        <w:t>CLI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GL_CLI1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 vs Eurozone Growth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`US-leads-EU` / `neutral` / `EU-leads-US`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GL_CLI2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US vs China Growth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`US-leads-China` / `neutral` / `China-leads-US`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GL_CLI5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Global Growth Breadth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Fraction &gt;= 0.7: `broad-expansion`; 0.4-0.7: `mixed`; &lt; 0.4: `contracting`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Fraction-based (naturally leading)</w:t>
            </w:r>
          </w:p>
        </w:tc>
      </w:tr>
    </w:tbl>
    <w:p/>
    <w:p>
      <w:pPr/>
      <w:r/>
      <w:r>
        <w:rPr>
          <w:b/>
        </w:rPr>
        <w:t>Narrative themes:</w:t>
      </w:r>
      <w:r/>
    </w:p>
    <w:p>
      <w:pPr>
        <w:pStyle w:val="ListBullet"/>
      </w:pPr>
      <w:r/>
      <w:r>
        <w:rPr>
          <w:i/>
        </w:rPr>
        <w:t>Synchronised global expansion</w:t>
      </w:r>
      <w:r>
        <w:t xml:space="preserve">: GL_CLI5 </w:t>
      </w:r>
      <w:r>
        <w:rPr>
          <w:rFonts w:ascii="Consolas" w:hAnsi="Consolas"/>
          <w:color w:val="8B0000"/>
          <w:sz w:val="16"/>
        </w:rPr>
        <w:t>broad-expansion</w:t>
      </w:r>
      <w:r>
        <w:t xml:space="preserve"> + GL_G2 </w:t>
      </w:r>
      <w:r>
        <w:rPr>
          <w:rFonts w:ascii="Consolas" w:hAnsi="Consolas"/>
          <w:color w:val="8B0000"/>
          <w:sz w:val="16"/>
        </w:rPr>
        <w:t>global-risk-on</w:t>
      </w:r>
      <w:r>
        <w:t xml:space="preserve"> = most bullish macro backdrop; raise equity beta, favour EM and HY</w:t>
      </w:r>
    </w:p>
    <w:p>
      <w:pPr>
        <w:pStyle w:val="ListBullet"/>
      </w:pPr>
      <w:r/>
      <w:r>
        <w:rPr>
          <w:i/>
        </w:rPr>
        <w:t>Global contraction</w:t>
      </w:r>
      <w:r>
        <w:t xml:space="preserve">: GL_CLI5 </w:t>
      </w:r>
      <w:r>
        <w:rPr>
          <w:rFonts w:ascii="Consolas" w:hAnsi="Consolas"/>
          <w:color w:val="8B0000"/>
          <w:sz w:val="16"/>
        </w:rPr>
        <w:t>contracting</w:t>
      </w:r>
      <w:r>
        <w:t xml:space="preserve"> + GL_G2 </w:t>
      </w:r>
      <w:r>
        <w:rPr>
          <w:rFonts w:ascii="Consolas" w:hAnsi="Consolas"/>
          <w:color w:val="8B0000"/>
          <w:sz w:val="16"/>
        </w:rPr>
        <w:t>global-risk-off</w:t>
      </w:r>
      <w:r>
        <w:t xml:space="preserve"> = de-risk; favour quality, IG, core government bonds</w:t>
      </w:r>
    </w:p>
    <w:p>
      <w:pPr>
        <w:pStyle w:val="ListBullet"/>
      </w:pPr>
      <w:r/>
      <w:r>
        <w:rPr>
          <w:i/>
        </w:rPr>
        <w:t>EM rotation window</w:t>
      </w:r>
      <w:r>
        <w:t xml:space="preserve">: GL_G1 </w:t>
      </w:r>
      <w:r>
        <w:rPr>
          <w:rFonts w:ascii="Consolas" w:hAnsi="Consolas"/>
          <w:color w:val="8B0000"/>
          <w:sz w:val="16"/>
        </w:rPr>
        <w:t>EM-outperform</w:t>
      </w:r>
      <w:r>
        <w:t xml:space="preserve"> + FX_CMD2 </w:t>
      </w:r>
      <w:r>
        <w:rPr>
          <w:rFonts w:ascii="Consolas" w:hAnsi="Consolas"/>
          <w:color w:val="8B0000"/>
          <w:sz w:val="16"/>
        </w:rPr>
        <w:t>weak-USD</w:t>
      </w:r>
      <w:r>
        <w:t xml:space="preserve"> + FX_CMD6 </w:t>
      </w:r>
      <w:r>
        <w:rPr>
          <w:rFonts w:ascii="Consolas" w:hAnsi="Consolas"/>
          <w:color w:val="8B0000"/>
          <w:sz w:val="16"/>
        </w:rPr>
        <w:t>commodity-bull</w:t>
      </w:r>
      <w:r>
        <w:t xml:space="preserve"> = highest-conviction EM overweight signal</w:t>
      </w:r>
    </w:p>
    <w:p>
      <w:pPr>
        <w:pStyle w:val="Heading1"/>
      </w:pPr>
      <w:r>
        <w:t>7. FX &amp; Commodities (9 indicators)</w:t>
      </w:r>
    </w:p>
    <w:p>
      <w:pPr>
        <w:pStyle w:val="Heading2"/>
      </w:pPr>
      <w:r>
        <w:t>CrossAsset - Growth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FX_CMD2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Dollar vs EM &amp; Commodities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`weak-USD` / `neutral` / `strong-USD`</w:t>
            </w:r>
          </w:p>
        </w:tc>
      </w:tr>
      <w:tr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FX_CMD1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Copper / Gold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  <w:shd w:fill="D6E4F0" w:val="clear"/>
          </w:tcPr>
          <w:p>
            <w:r>
              <w:rPr>
                <w:sz w:val="16"/>
              </w:rPr>
              <w:t>`pro-growth` / `neutral` / `growth-scare`</w:t>
            </w:r>
          </w:p>
        </w:tc>
      </w:tr>
    </w:tbl>
    <w:p/>
    <w:p>
      <w:pPr>
        <w:pStyle w:val="Heading2"/>
      </w:pPr>
      <w:r>
        <w:t>China - FX Mmtm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FX_CN1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CNY Momentum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`CNY-strengthening` / `neutral` / `CNY-weakening`</w:t>
            </w:r>
          </w:p>
        </w:tc>
      </w:tr>
    </w:tbl>
    <w:p/>
    <w:p>
      <w:pPr>
        <w:pStyle w:val="Heading2"/>
      </w:pPr>
      <w:r>
        <w:t>India - FX Mmtm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FX_1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INR Momentum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`INR-strengthening` / `neutral` / `INR-weakening`</w:t>
            </w:r>
          </w:p>
        </w:tc>
      </w:tr>
    </w:tbl>
    <w:p/>
    <w:p>
      <w:pPr>
        <w:pStyle w:val="Heading2"/>
      </w:pPr>
      <w:r>
        <w:t>Japan - FX Mmtm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FX_2 **+**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JPY Carry Trade Signal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&gt; +0.5: `carry-on`; -1 to +0.5: `neutral`; z &lt; -1: `carry-unwind`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Asymmetric thresholds</w:t>
            </w:r>
          </w:p>
        </w:tc>
      </w:tr>
    </w:tbl>
    <w:p/>
    <w:p>
      <w:pPr>
        <w:pStyle w:val="Heading2"/>
      </w:pPr>
      <w:r>
        <w:t>Growth (China infra)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FX_CMD5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Iron Ore / Copper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`china-infra-led` / `neutral` / `global-industrial-led`</w:t>
            </w:r>
          </w:p>
        </w:tc>
      </w:tr>
    </w:tbl>
    <w:p/>
    <w:p>
      <w:pPr>
        <w:pStyle w:val="Heading2"/>
      </w:pPr>
      <w:r>
        <w:t>Growth (China broad)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FX_CMD4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Iron Ore / Broad Commodities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`china-commodity-leading` / `neutral` / `global-commodity-leading`</w:t>
            </w:r>
          </w:p>
        </w:tc>
      </w:tr>
    </w:tbl>
    <w:p/>
    <w:p>
      <w:pPr>
        <w:pStyle w:val="Heading2"/>
      </w:pPr>
      <w:r>
        <w:t>Growth Mmtm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FX_CMD6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Commodity Cycle Momentum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`commodity-bull` / `neutral` / `commodity-bear`</w:t>
            </w:r>
          </w:p>
        </w:tc>
      </w:tr>
    </w:tbl>
    <w:p/>
    <w:p>
      <w:pPr>
        <w:pStyle w:val="Heading2"/>
      </w:pPr>
      <w:r>
        <w:t>Inflation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Short Name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Regime Thresholds</w:t>
            </w:r>
          </w:p>
        </w:tc>
        <w:tc>
          <w:tcPr>
            <w:tcW w:type="dxa" w:w="2556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FX_CMD3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Oil vs Gold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z +/-1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`growth-inflation` / `balanced` / `deflation-risk`</w:t>
            </w:r>
          </w:p>
        </w:tc>
      </w:tr>
    </w:tbl>
    <w:p/>
    <w:p>
      <w:pPr/>
      <w:r/>
      <w:r>
        <w:rPr>
          <w:b/>
        </w:rPr>
        <w:t>Narrative themes:</w:t>
      </w:r>
      <w:r/>
    </w:p>
    <w:p>
      <w:pPr>
        <w:pStyle w:val="ListBullet"/>
      </w:pPr>
      <w:r/>
      <w:r>
        <w:rPr>
          <w:i/>
        </w:rPr>
        <w:t>King Dollar</w:t>
      </w:r>
      <w:r>
        <w:t xml:space="preserve">: FX_CMD2 </w:t>
      </w:r>
      <w:r>
        <w:rPr>
          <w:rFonts w:ascii="Consolas" w:hAnsi="Consolas"/>
          <w:color w:val="8B0000"/>
          <w:sz w:val="16"/>
        </w:rPr>
        <w:t>strong-USD</w:t>
      </w:r>
      <w:r>
        <w:t xml:space="preserve"> = headwind for EM, commodities, multinational earnings; typically aligns with Fed hawkishness</w:t>
      </w:r>
    </w:p>
    <w:p>
      <w:pPr>
        <w:pStyle w:val="ListBullet"/>
      </w:pPr>
      <w:r/>
      <w:r>
        <w:rPr>
          <w:i/>
        </w:rPr>
        <w:t>Carry unwind alert</w:t>
      </w:r>
      <w:r>
        <w:t xml:space="preserve">: FX_2 </w:t>
      </w:r>
      <w:r>
        <w:rPr>
          <w:rFonts w:ascii="Consolas" w:hAnsi="Consolas"/>
          <w:color w:val="8B0000"/>
          <w:sz w:val="16"/>
        </w:rPr>
        <w:t>carry-unwind</w:t>
      </w:r>
      <w:r>
        <w:t xml:space="preserve"> = </w:t>
      </w:r>
      <w:r>
        <w:rPr>
          <w:b/>
        </w:rPr>
        <w:t>systemic risk-off signal</w:t>
      </w:r>
      <w:r>
        <w:t>; JPY strengthening precedes equity/EM damage by 2-4 weeks</w:t>
      </w:r>
    </w:p>
    <w:p>
      <w:pPr>
        <w:pStyle w:val="ListBullet"/>
      </w:pPr>
      <w:r/>
      <w:r>
        <w:rPr>
          <w:i/>
        </w:rPr>
        <w:t>China infrastructure cycle</w:t>
      </w:r>
      <w:r>
        <w:t xml:space="preserve">: FX_CMD5 </w:t>
      </w:r>
      <w:r>
        <w:rPr>
          <w:rFonts w:ascii="Consolas" w:hAnsi="Consolas"/>
          <w:color w:val="8B0000"/>
          <w:sz w:val="16"/>
        </w:rPr>
        <w:t>china-infra-led</w:t>
      </w:r>
      <w:r>
        <w:t xml:space="preserve"> + FX_CMD4 </w:t>
      </w:r>
      <w:r>
        <w:rPr>
          <w:rFonts w:ascii="Consolas" w:hAnsi="Consolas"/>
          <w:color w:val="8B0000"/>
          <w:sz w:val="16"/>
        </w:rPr>
        <w:t>china-commodity-leading</w:t>
      </w:r>
      <w:r>
        <w:t xml:space="preserve"> = China heavy-industry stimulus is dominant commodity driver</w:t>
      </w:r>
    </w:p>
    <w:p>
      <w:pPr>
        <w:pStyle w:val="ListBullet"/>
      </w:pPr>
      <w:r/>
      <w:r>
        <w:rPr>
          <w:i/>
        </w:rPr>
        <w:t>Growth-inflation conviction</w:t>
      </w:r>
      <w:r>
        <w:t xml:space="preserve">: FX_CMD1 </w:t>
      </w:r>
      <w:r>
        <w:rPr>
          <w:rFonts w:ascii="Consolas" w:hAnsi="Consolas"/>
          <w:color w:val="8B0000"/>
          <w:sz w:val="16"/>
        </w:rPr>
        <w:t>pro-growth</w:t>
      </w:r>
      <w:r>
        <w:t xml:space="preserve"> + FX_CMD3 </w:t>
      </w:r>
      <w:r>
        <w:rPr>
          <w:rFonts w:ascii="Consolas" w:hAnsi="Consolas"/>
          <w:color w:val="8B0000"/>
          <w:sz w:val="16"/>
        </w:rPr>
        <w:t>growth-inflation</w:t>
      </w:r>
      <w:r>
        <w:t xml:space="preserve"> = high-conviction growth-driven reflation</w:t>
      </w:r>
    </w:p>
    <w:p>
      <w:pPr>
        <w:pStyle w:val="Heading1"/>
      </w:pPr>
      <w:r>
        <w:t>Non-Standard Threshold Summary</w:t>
      </w:r>
    </w:p>
    <w:p>
      <w:pPr/>
      <w:r>
        <w:t>Nine indicators use non-standard regime logic: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0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340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US_R1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Level override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Spread &lt; 0 (inversion) → `recession-watch` regardless of z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US_Cr2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Absolute levels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5-regime framework using HY spread bps (300/400/500/800)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US_V1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Level override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VIX3M - VIX &lt; 0 (inversion) → `stress` regardless of z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US_ISM1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Absolute levels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ISM New Orders: 48/52 thresholds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Level override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OAS &gt; 600bps overrides trend signal → `stress-regime`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EU_R1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Level + asymmetric z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BTP-Bund raw &gt; 2.5% overrides z; uses +1.5/-1 asymmetric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FX_2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Asymmetric 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+0.5 / -1 (lower bar for carry-on, higher bar for carry-unwind)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EU_CLI1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Level + z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CLI &gt; 100 AND z &gt; +1 required for `above-trend`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AS_CLI1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Level + z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CLI &gt; 100 AND z &gt; +1 required for `above-trend`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GL_CLI5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Fraction-based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0.4/0.7 fraction of 9 countries meeting dual condition</w:t>
            </w:r>
          </w:p>
        </w:tc>
      </w:tr>
    </w:tbl>
    <w:p/>
    <w:p>
      <w:pPr>
        <w:pStyle w:val="Heading1"/>
      </w:pPr>
      <w:r>
        <w:t>Cross-Indicator Confirmation Patterns — Macro Quadrants</w:t>
      </w:r>
    </w:p>
    <w:p>
      <w:pPr/>
      <w:r>
        <w:t>These are the highest-conviction multi-indicator signals, organised by the four macro regimes defined by the intersection of growth and inflation conditions.</w:t>
      </w:r>
    </w:p>
    <w:p>
      <w:pPr>
        <w:pStyle w:val="Heading2"/>
      </w:pPr>
      <w:r>
        <w:t>Quadrant 1: Growth + / Inflation + (Reflation / Boom)</w:t>
      </w:r>
    </w:p>
    <w:p>
      <w:pPr/>
      <w:r/>
      <w:r>
        <w:rPr>
          <w:i/>
        </w:rPr>
        <w:t>Economy expanding, prices rising. Favour cyclicals, commodities, value, short duration.</w:t>
      </w:r>
      <w:r/>
    </w:p>
    <w:p>
      <w:pPr/>
      <w:r/>
      <w:r>
        <w:rPr>
          <w:b/>
        </w:rPr>
        <w:t>Growth signals:</w:t>
      </w:r>
      <w:r/>
    </w:p>
    <w:p>
      <w:pPr>
        <w:pStyle w:val="ListBullet"/>
      </w:pPr>
      <w:r>
        <w:t xml:space="preserve">US_G1 </w:t>
      </w:r>
      <w:r>
        <w:rPr>
          <w:rFonts w:ascii="Consolas" w:hAnsi="Consolas"/>
          <w:color w:val="8B0000"/>
          <w:sz w:val="16"/>
        </w:rPr>
        <w:t>pro-growth</w:t>
      </w:r>
      <w:r>
        <w:t xml:space="preserve"> + US_G2 </w:t>
      </w:r>
      <w:r>
        <w:rPr>
          <w:rFonts w:ascii="Consolas" w:hAnsi="Consolas"/>
          <w:color w:val="8B0000"/>
          <w:sz w:val="16"/>
        </w:rPr>
        <w:t>risk-on</w:t>
      </w:r>
      <w:r>
        <w:t xml:space="preserve"> + US_G4 </w:t>
      </w:r>
      <w:r>
        <w:rPr>
          <w:rFonts w:ascii="Consolas" w:hAnsi="Consolas"/>
          <w:color w:val="8B0000"/>
          <w:sz w:val="16"/>
        </w:rPr>
        <w:t>broad-rally</w:t>
      </w:r>
      <w:r/>
    </w:p>
    <w:p>
      <w:pPr>
        <w:pStyle w:val="ListBullet"/>
      </w:pPr>
      <w:r>
        <w:t xml:space="preserve">US_ISM1 </w:t>
      </w:r>
      <w:r>
        <w:rPr>
          <w:rFonts w:ascii="Consolas" w:hAnsi="Consolas"/>
          <w:color w:val="8B0000"/>
          <w:sz w:val="16"/>
        </w:rPr>
        <w:t>ism-expansion</w:t>
      </w:r>
      <w:r>
        <w:t xml:space="preserve"> + US_G6 </w:t>
      </w:r>
      <w:r>
        <w:rPr>
          <w:rFonts w:ascii="Consolas" w:hAnsi="Consolas"/>
          <w:color w:val="8B0000"/>
          <w:sz w:val="16"/>
        </w:rPr>
        <w:t>strong-growth</w:t>
      </w:r>
      <w:r/>
    </w:p>
    <w:p>
      <w:pPr>
        <w:pStyle w:val="ListBullet"/>
      </w:pPr>
      <w:r>
        <w:t xml:space="preserve">GL_CLI5 </w:t>
      </w:r>
      <w:r>
        <w:rPr>
          <w:rFonts w:ascii="Consolas" w:hAnsi="Consolas"/>
          <w:color w:val="8B0000"/>
          <w:sz w:val="16"/>
        </w:rPr>
        <w:t>broad-expansion</w:t>
      </w:r>
      <w:r>
        <w:t xml:space="preserve"> + GL_G2 </w:t>
      </w:r>
      <w:r>
        <w:rPr>
          <w:rFonts w:ascii="Consolas" w:hAnsi="Consolas"/>
          <w:color w:val="8B0000"/>
          <w:sz w:val="16"/>
        </w:rPr>
        <w:t>global-risk-on</w:t>
      </w:r>
      <w:r/>
    </w:p>
    <w:p>
      <w:pPr>
        <w:pStyle w:val="ListBullet"/>
      </w:pPr>
      <w:r>
        <w:t xml:space="preserve">M1 </w:t>
      </w:r>
      <w:r>
        <w:rPr>
          <w:rFonts w:ascii="Consolas" w:hAnsi="Consolas"/>
          <w:color w:val="8B0000"/>
          <w:sz w:val="16"/>
        </w:rPr>
        <w:t>trend-up</w:t>
      </w:r>
      <w:r>
        <w:t xml:space="preserve"> + M2 </w:t>
      </w:r>
      <w:r>
        <w:rPr>
          <w:rFonts w:ascii="Consolas" w:hAnsi="Consolas"/>
          <w:color w:val="8B0000"/>
          <w:sz w:val="16"/>
        </w:rPr>
        <w:t>risk-on</w:t>
      </w:r>
      <w:r/>
    </w:p>
    <w:p>
      <w:pPr/>
      <w:r/>
      <w:r>
        <w:rPr>
          <w:b/>
        </w:rPr>
        <w:t>Inflation signals:</w:t>
      </w:r>
      <w:r/>
    </w:p>
    <w:p>
      <w:pPr>
        <w:pStyle w:val="ListBullet"/>
      </w:pPr>
      <w:r>
        <w:t xml:space="preserve">US_R4 </w:t>
      </w:r>
      <w:r>
        <w:rPr>
          <w:rFonts w:ascii="Consolas" w:hAnsi="Consolas"/>
          <w:color w:val="8B0000"/>
          <w:sz w:val="16"/>
        </w:rPr>
        <w:t>inflation-elevated</w:t>
      </w:r>
      <w:r>
        <w:t xml:space="preserve"> + US_R5 </w:t>
      </w:r>
      <w:r>
        <w:rPr>
          <w:rFonts w:ascii="Consolas" w:hAnsi="Consolas"/>
          <w:color w:val="8B0000"/>
          <w:sz w:val="16"/>
        </w:rPr>
        <w:t>low-real-rates</w:t>
      </w:r>
      <w:r/>
    </w:p>
    <w:p>
      <w:pPr>
        <w:pStyle w:val="ListBullet"/>
      </w:pPr>
      <w:r>
        <w:t xml:space="preserve">GL_CA_I1 </w:t>
      </w:r>
      <w:r>
        <w:rPr>
          <w:rFonts w:ascii="Consolas" w:hAnsi="Consolas"/>
          <w:color w:val="8B0000"/>
          <w:sz w:val="16"/>
        </w:rPr>
        <w:t>reflation</w:t>
      </w:r>
      <w:r>
        <w:t xml:space="preserve"> (commodities outperforming bonds)</w:t>
      </w:r>
    </w:p>
    <w:p>
      <w:pPr>
        <w:pStyle w:val="ListBullet"/>
      </w:pPr>
      <w:r>
        <w:t xml:space="preserve">FX_CMD3 </w:t>
      </w:r>
      <w:r>
        <w:rPr>
          <w:rFonts w:ascii="Consolas" w:hAnsi="Consolas"/>
          <w:color w:val="8B0000"/>
          <w:sz w:val="16"/>
        </w:rPr>
        <w:t>growth-inflation</w:t>
      </w:r>
      <w:r>
        <w:t xml:space="preserve"> (oil outperforming gold)</w:t>
      </w:r>
    </w:p>
    <w:p>
      <w:pPr>
        <w:pStyle w:val="ListBullet"/>
      </w:pPr>
      <w:r>
        <w:t xml:space="preserve">FX_CMD1 </w:t>
      </w:r>
      <w:r>
        <w:rPr>
          <w:rFonts w:ascii="Consolas" w:hAnsi="Consolas"/>
          <w:color w:val="8B0000"/>
          <w:sz w:val="16"/>
        </w:rPr>
        <w:t>pro-growth</w:t>
      </w:r>
      <w:r>
        <w:t xml:space="preserve"> (copper outperforming gold)</w:t>
      </w:r>
    </w:p>
    <w:p>
      <w:pPr>
        <w:pStyle w:val="ListBullet"/>
      </w:pPr>
      <w:r>
        <w:t xml:space="preserve">FX_CMD6 </w:t>
      </w:r>
      <w:r>
        <w:rPr>
          <w:rFonts w:ascii="Consolas" w:hAnsi="Consolas"/>
          <w:color w:val="8B0000"/>
          <w:sz w:val="16"/>
        </w:rPr>
        <w:t>commodity-bull</w:t>
      </w:r>
      <w:r/>
    </w:p>
    <w:p>
      <w:pPr/>
      <w:r/>
      <w:r>
        <w:rPr>
          <w:b/>
        </w:rPr>
        <w:t>Positioning:</w:t>
      </w:r>
      <w:r>
        <w:t xml:space="preserve"> OW cyclicals, value, energy, materials, commodity exporters. UW long-duration bonds, defensives. Add inflation-linked bonds (TIPS). OW EM if FX_CMD2 </w:t>
      </w:r>
      <w:r>
        <w:rPr>
          <w:rFonts w:ascii="Consolas" w:hAnsi="Consolas"/>
          <w:color w:val="8B0000"/>
          <w:sz w:val="16"/>
        </w:rPr>
        <w:t>weak-USD</w:t>
      </w:r>
      <w:r>
        <w:t>.</w:t>
      </w:r>
    </w:p>
    <w:p>
      <w:pPr>
        <w:pStyle w:val="Heading2"/>
      </w:pPr>
      <w:r>
        <w:t>Quadrant 2: Growth + / Inflation - (Goldilocks / Disinflation Boom)</w:t>
      </w:r>
    </w:p>
    <w:p>
      <w:pPr/>
      <w:r/>
      <w:r>
        <w:rPr>
          <w:i/>
        </w:rPr>
        <w:t>Economy expanding, prices stable or falling. Favour growth equities, credit, duration-neutral.</w:t>
      </w:r>
      <w:r/>
    </w:p>
    <w:p>
      <w:pPr/>
      <w:r/>
      <w:r>
        <w:rPr>
          <w:b/>
        </w:rPr>
        <w:t>Growth signals:</w:t>
      </w:r>
      <w:r/>
    </w:p>
    <w:p>
      <w:pPr>
        <w:pStyle w:val="ListBullet"/>
      </w:pPr>
      <w:r>
        <w:t xml:space="preserve">US_G1 </w:t>
      </w:r>
      <w:r>
        <w:rPr>
          <w:rFonts w:ascii="Consolas" w:hAnsi="Consolas"/>
          <w:color w:val="8B0000"/>
          <w:sz w:val="16"/>
        </w:rPr>
        <w:t>pro-growth</w:t>
      </w:r>
      <w:r>
        <w:t xml:space="preserve"> + US_G4 </w:t>
      </w:r>
      <w:r>
        <w:rPr>
          <w:rFonts w:ascii="Consolas" w:hAnsi="Consolas"/>
          <w:color w:val="8B0000"/>
          <w:sz w:val="16"/>
        </w:rPr>
        <w:t>broad-rally</w:t>
      </w:r>
      <w:r/>
    </w:p>
    <w:p>
      <w:pPr>
        <w:pStyle w:val="ListBullet"/>
      </w:pPr>
      <w:r>
        <w:t xml:space="preserve">US_R1 </w:t>
      </w:r>
      <w:r>
        <w:rPr>
          <w:rFonts w:ascii="Consolas" w:hAnsi="Consolas"/>
          <w:color w:val="8B0000"/>
          <w:sz w:val="16"/>
        </w:rPr>
        <w:t>early-cycle</w:t>
      </w:r>
      <w:r>
        <w:t xml:space="preserve"> or </w:t>
      </w:r>
      <w:r>
        <w:rPr>
          <w:rFonts w:ascii="Consolas" w:hAnsi="Consolas"/>
          <w:color w:val="8B0000"/>
          <w:sz w:val="16"/>
        </w:rPr>
        <w:t>mid-cycle</w:t>
      </w:r>
      <w:r>
        <w:t xml:space="preserve"> (no inversion)</w:t>
      </w:r>
    </w:p>
    <w:p>
      <w:pPr>
        <w:pStyle w:val="ListBullet"/>
      </w:pPr>
      <w:r>
        <w:t xml:space="preserve">US_JOBS2 </w:t>
      </w:r>
      <w:r>
        <w:rPr>
          <w:rFonts w:ascii="Consolas" w:hAnsi="Consolas"/>
          <w:color w:val="8B0000"/>
          <w:sz w:val="16"/>
        </w:rPr>
        <w:t>balanced</w:t>
      </w:r>
      <w:r>
        <w:t xml:space="preserve"> + US_G6 </w:t>
      </w:r>
      <w:r>
        <w:rPr>
          <w:rFonts w:ascii="Consolas" w:hAnsi="Consolas"/>
          <w:color w:val="8B0000"/>
          <w:sz w:val="16"/>
        </w:rPr>
        <w:t>normal</w:t>
      </w:r>
      <w:r>
        <w:t xml:space="preserve"> or </w:t>
      </w:r>
      <w:r>
        <w:rPr>
          <w:rFonts w:ascii="Consolas" w:hAnsi="Consolas"/>
          <w:color w:val="8B0000"/>
          <w:sz w:val="16"/>
        </w:rPr>
        <w:t>strong-growth</w:t>
      </w:r>
      <w:r/>
    </w:p>
    <w:p>
      <w:pPr>
        <w:pStyle w:val="ListBullet"/>
      </w:pPr>
      <w:r>
        <w:t xml:space="preserve">GL_CLI5 </w:t>
      </w:r>
      <w:r>
        <w:rPr>
          <w:rFonts w:ascii="Consolas" w:hAnsi="Consolas"/>
          <w:color w:val="8B0000"/>
          <w:sz w:val="16"/>
        </w:rPr>
        <w:t>broad-expansion</w:t>
      </w:r>
      <w:r>
        <w:t xml:space="preserve"> or </w:t>
      </w:r>
      <w:r>
        <w:rPr>
          <w:rFonts w:ascii="Consolas" w:hAnsi="Consolas"/>
          <w:color w:val="8B0000"/>
          <w:sz w:val="16"/>
        </w:rPr>
        <w:t>mixed</w:t>
      </w:r>
      <w:r>
        <w:t xml:space="preserve"> trending up</w:t>
      </w:r>
    </w:p>
    <w:p>
      <w:pPr>
        <w:pStyle w:val="ListBullet"/>
      </w:pPr>
      <w:r>
        <w:t xml:space="preserve">US_Cr2 </w:t>
      </w:r>
      <w:r>
        <w:rPr>
          <w:rFonts w:ascii="Consolas" w:hAnsi="Consolas"/>
          <w:color w:val="8B0000"/>
          <w:sz w:val="16"/>
        </w:rPr>
        <w:t>normal</w:t>
      </w:r>
      <w:r>
        <w:t xml:space="preserve"> or </w:t>
      </w:r>
      <w:r>
        <w:rPr>
          <w:rFonts w:ascii="Consolas" w:hAnsi="Consolas"/>
          <w:color w:val="8B0000"/>
          <w:sz w:val="16"/>
        </w:rPr>
        <w:t>complacent</w:t>
      </w:r>
      <w:r>
        <w:t xml:space="preserve"> (credit healthy)</w:t>
      </w:r>
    </w:p>
    <w:p>
      <w:pPr/>
      <w:r/>
      <w:r>
        <w:rPr>
          <w:b/>
        </w:rPr>
        <w:t>Disinflation signals:</w:t>
      </w:r>
      <w:r/>
    </w:p>
    <w:p>
      <w:pPr>
        <w:pStyle w:val="ListBullet"/>
      </w:pPr>
      <w:r>
        <w:t xml:space="preserve">US_R4 </w:t>
      </w:r>
      <w:r>
        <w:rPr>
          <w:rFonts w:ascii="Consolas" w:hAnsi="Consolas"/>
          <w:color w:val="8B0000"/>
          <w:sz w:val="16"/>
        </w:rPr>
        <w:t>neutral</w:t>
      </w:r>
      <w:r>
        <w:t xml:space="preserve"> or </w:t>
      </w:r>
      <w:r>
        <w:rPr>
          <w:rFonts w:ascii="Consolas" w:hAnsi="Consolas"/>
          <w:color w:val="8B0000"/>
          <w:sz w:val="16"/>
        </w:rPr>
        <w:t>disinflation</w:t>
      </w:r>
      <w:r/>
    </w:p>
    <w:p>
      <w:pPr>
        <w:pStyle w:val="ListBullet"/>
      </w:pPr>
      <w:r>
        <w:t xml:space="preserve">GL_CA_I1 </w:t>
      </w:r>
      <w:r>
        <w:rPr>
          <w:rFonts w:ascii="Consolas" w:hAnsi="Consolas"/>
          <w:color w:val="8B0000"/>
          <w:sz w:val="16"/>
        </w:rPr>
        <w:t>balanced</w:t>
      </w:r>
      <w:r>
        <w:t xml:space="preserve"> or </w:t>
      </w:r>
      <w:r>
        <w:rPr>
          <w:rFonts w:ascii="Consolas" w:hAnsi="Consolas"/>
          <w:color w:val="8B0000"/>
          <w:sz w:val="16"/>
        </w:rPr>
        <w:t>deflation-scare</w:t>
      </w:r>
      <w:r/>
    </w:p>
    <w:p>
      <w:pPr>
        <w:pStyle w:val="ListBullet"/>
      </w:pPr>
      <w:r>
        <w:t xml:space="preserve">FX_CMD3 </w:t>
      </w:r>
      <w:r>
        <w:rPr>
          <w:rFonts w:ascii="Consolas" w:hAnsi="Consolas"/>
          <w:color w:val="8B0000"/>
          <w:sz w:val="16"/>
        </w:rPr>
        <w:t>balanced</w:t>
      </w:r>
      <w:r>
        <w:t xml:space="preserve"> or </w:t>
      </w:r>
      <w:r>
        <w:rPr>
          <w:rFonts w:ascii="Consolas" w:hAnsi="Consolas"/>
          <w:color w:val="8B0000"/>
          <w:sz w:val="16"/>
        </w:rPr>
        <w:t>deflation-risk</w:t>
      </w:r>
      <w:r/>
    </w:p>
    <w:p>
      <w:pPr>
        <w:pStyle w:val="ListBullet"/>
      </w:pPr>
      <w:r>
        <w:t xml:space="preserve">US_R5 </w:t>
      </w:r>
      <w:r>
        <w:rPr>
          <w:rFonts w:ascii="Consolas" w:hAnsi="Consolas"/>
          <w:color w:val="8B0000"/>
          <w:sz w:val="16"/>
        </w:rPr>
        <w:t>normal</w:t>
      </w:r>
      <w:r>
        <w:t xml:space="preserve"> or </w:t>
      </w:r>
      <w:r>
        <w:rPr>
          <w:rFonts w:ascii="Consolas" w:hAnsi="Consolas"/>
          <w:color w:val="8B0000"/>
          <w:sz w:val="16"/>
        </w:rPr>
        <w:t>high-real-rates</w:t>
      </w:r>
      <w:r>
        <w:t xml:space="preserve"> (real rates not being inflated away)</w:t>
      </w:r>
    </w:p>
    <w:p>
      <w:pPr>
        <w:pStyle w:val="ListBullet"/>
      </w:pPr>
      <w:r>
        <w:t xml:space="preserve">US_M2 </w:t>
      </w:r>
      <w:r>
        <w:rPr>
          <w:rFonts w:ascii="Consolas" w:hAnsi="Consolas"/>
          <w:color w:val="8B0000"/>
          <w:sz w:val="16"/>
        </w:rPr>
        <w:t>neutral</w:t>
      </w:r>
      <w:r>
        <w:t xml:space="preserve"> (no excess liquidity)</w:t>
      </w:r>
    </w:p>
    <w:p>
      <w:pPr/>
      <w:r/>
      <w:r>
        <w:rPr>
          <w:b/>
        </w:rPr>
        <w:t>Positioning:</w:t>
      </w:r>
      <w:r>
        <w:t xml:space="preserve"> OW growth equities (US_G5 </w:t>
      </w:r>
      <w:r>
        <w:rPr>
          <w:rFonts w:ascii="Consolas" w:hAnsi="Consolas"/>
          <w:color w:val="8B0000"/>
          <w:sz w:val="16"/>
        </w:rPr>
        <w:t>tech-led</w:t>
      </w:r>
      <w:r>
        <w:t xml:space="preserve"> is supportive here), quality credit (IG and HY if US_Cr2 healthy). Neutral duration. This is the environment that supports equity multiple expansion. OW US if GL_CLI1 </w:t>
      </w:r>
      <w:r>
        <w:rPr>
          <w:rFonts w:ascii="Consolas" w:hAnsi="Consolas"/>
          <w:color w:val="8B0000"/>
          <w:sz w:val="16"/>
        </w:rPr>
        <w:t>US-leads-EU</w:t>
      </w:r>
      <w:r>
        <w:t>.</w:t>
      </w:r>
    </w:p>
    <w:p>
      <w:pPr>
        <w:pStyle w:val="Heading2"/>
      </w:pPr>
      <w:r>
        <w:t>Quadrant 3: Growth - / Inflation + (Stagflation)</w:t>
      </w:r>
    </w:p>
    <w:p>
      <w:pPr/>
      <w:r/>
      <w:r>
        <w:rPr>
          <w:i/>
        </w:rPr>
        <w:t>Economy weakening, prices still rising. The worst quadrant for traditional portfolios. Favour real assets, gold, short duration.</w:t>
      </w:r>
      <w:r/>
    </w:p>
    <w:p>
      <w:pPr/>
      <w:r/>
      <w:r>
        <w:rPr>
          <w:b/>
        </w:rPr>
        <w:t>Growth deterioration signals:</w:t>
      </w:r>
      <w:r/>
    </w:p>
    <w:p>
      <w:pPr>
        <w:pStyle w:val="ListBullet"/>
      </w:pPr>
      <w:r>
        <w:t xml:space="preserve">US_R1 </w:t>
      </w:r>
      <w:r>
        <w:rPr>
          <w:rFonts w:ascii="Consolas" w:hAnsi="Consolas"/>
          <w:color w:val="8B0000"/>
          <w:sz w:val="16"/>
        </w:rPr>
        <w:t>recession-watch</w:t>
      </w:r>
      <w:r>
        <w:t xml:space="preserve"> or </w:t>
      </w:r>
      <w:r>
        <w:rPr>
          <w:rFonts w:ascii="Consolas" w:hAnsi="Consolas"/>
          <w:color w:val="8B0000"/>
          <w:sz w:val="16"/>
        </w:rPr>
        <w:t>late-cycle</w:t>
      </w:r>
      <w:r/>
    </w:p>
    <w:p>
      <w:pPr>
        <w:pStyle w:val="ListBullet"/>
      </w:pPr>
      <w:r>
        <w:t xml:space="preserve">US_JOBS1 </w:t>
      </w:r>
      <w:r>
        <w:rPr>
          <w:rFonts w:ascii="Consolas" w:hAnsi="Consolas"/>
          <w:color w:val="8B0000"/>
          <w:sz w:val="16"/>
        </w:rPr>
        <w:t>labour-deteriorating</w:t>
      </w:r>
      <w:r>
        <w:t xml:space="preserve"> + US_G6 </w:t>
      </w:r>
      <w:r>
        <w:rPr>
          <w:rFonts w:ascii="Consolas" w:hAnsi="Consolas"/>
          <w:color w:val="8B0000"/>
          <w:sz w:val="16"/>
        </w:rPr>
        <w:t>weak-growth</w:t>
      </w:r>
      <w:r/>
    </w:p>
    <w:p>
      <w:pPr>
        <w:pStyle w:val="ListBullet"/>
      </w:pPr>
      <w:r>
        <w:t xml:space="preserve">US_ISM1 </w:t>
      </w:r>
      <w:r>
        <w:rPr>
          <w:rFonts w:ascii="Consolas" w:hAnsi="Consolas"/>
          <w:color w:val="8B0000"/>
          <w:sz w:val="16"/>
        </w:rPr>
        <w:t>ism-contraction</w:t>
      </w:r>
      <w:r/>
    </w:p>
    <w:p>
      <w:pPr>
        <w:pStyle w:val="ListBullet"/>
      </w:pPr>
      <w:r>
        <w:t xml:space="preserve">GL_CLI5 </w:t>
      </w:r>
      <w:r>
        <w:rPr>
          <w:rFonts w:ascii="Consolas" w:hAnsi="Consolas"/>
          <w:color w:val="8B0000"/>
          <w:sz w:val="16"/>
        </w:rPr>
        <w:t>contracting</w:t>
      </w:r>
      <w:r>
        <w:t xml:space="preserve"> or </w:t>
      </w:r>
      <w:r>
        <w:rPr>
          <w:rFonts w:ascii="Consolas" w:hAnsi="Consolas"/>
          <w:color w:val="8B0000"/>
          <w:sz w:val="16"/>
        </w:rPr>
        <w:t>mixed</w:t>
      </w:r>
      <w:r>
        <w:t xml:space="preserve"> trending down</w:t>
      </w:r>
    </w:p>
    <w:p>
      <w:pPr>
        <w:pStyle w:val="ListBullet"/>
      </w:pPr>
      <w:r>
        <w:t xml:space="preserve">US_V1 </w:t>
      </w:r>
      <w:r>
        <w:rPr>
          <w:rFonts w:ascii="Consolas" w:hAnsi="Consolas"/>
          <w:color w:val="8B0000"/>
          <w:sz w:val="16"/>
        </w:rPr>
        <w:t>stress</w:t>
      </w:r>
      <w:r>
        <w:t xml:space="preserve"> (inverted vol term structure)</w:t>
      </w:r>
    </w:p>
    <w:p>
      <w:pPr>
        <w:pStyle w:val="ListBullet"/>
      </w:pPr>
      <w:r>
        <w:t xml:space="preserve">M1 </w:t>
      </w:r>
      <w:r>
        <w:rPr>
          <w:rFonts w:ascii="Consolas" w:hAnsi="Consolas"/>
          <w:color w:val="8B0000"/>
          <w:sz w:val="16"/>
        </w:rPr>
        <w:t>trend-down</w:t>
      </w:r>
      <w:r>
        <w:t xml:space="preserve"> + M2 </w:t>
      </w:r>
      <w:r>
        <w:rPr>
          <w:rFonts w:ascii="Consolas" w:hAnsi="Consolas"/>
          <w:color w:val="8B0000"/>
          <w:sz w:val="16"/>
        </w:rPr>
        <w:t>risk-off</w:t>
      </w:r>
      <w:r/>
    </w:p>
    <w:p>
      <w:pPr/>
      <w:r/>
      <w:r>
        <w:rPr>
          <w:b/>
        </w:rPr>
        <w:t>Persistent inflation signals:</w:t>
      </w:r>
      <w:r/>
    </w:p>
    <w:p>
      <w:pPr>
        <w:pStyle w:val="ListBullet"/>
      </w:pPr>
      <w:r>
        <w:t xml:space="preserve">US_R4 </w:t>
      </w:r>
      <w:r>
        <w:rPr>
          <w:rFonts w:ascii="Consolas" w:hAnsi="Consolas"/>
          <w:color w:val="8B0000"/>
          <w:sz w:val="16"/>
        </w:rPr>
        <w:t>inflation-elevated</w:t>
      </w:r>
      <w:r/>
    </w:p>
    <w:p>
      <w:pPr>
        <w:pStyle w:val="ListBullet"/>
      </w:pPr>
      <w:r>
        <w:t xml:space="preserve">GL_CA_I1 </w:t>
      </w:r>
      <w:r>
        <w:rPr>
          <w:rFonts w:ascii="Consolas" w:hAnsi="Consolas"/>
          <w:color w:val="8B0000"/>
          <w:sz w:val="16"/>
        </w:rPr>
        <w:t>reflation</w:t>
      </w:r>
      <w:r>
        <w:t xml:space="preserve"> (commodities still outperforming bonds despite weak growth)</w:t>
      </w:r>
    </w:p>
    <w:p>
      <w:pPr>
        <w:pStyle w:val="ListBullet"/>
      </w:pPr>
      <w:r>
        <w:t xml:space="preserve">FX_CMD3 </w:t>
      </w:r>
      <w:r>
        <w:rPr>
          <w:rFonts w:ascii="Consolas" w:hAnsi="Consolas"/>
          <w:color w:val="8B0000"/>
          <w:sz w:val="16"/>
        </w:rPr>
        <w:t>growth-inflation</w:t>
      </w:r>
      <w:r>
        <w:t xml:space="preserve"> BUT FX_CMD1 </w:t>
      </w:r>
      <w:r>
        <w:rPr>
          <w:rFonts w:ascii="Consolas" w:hAnsi="Consolas"/>
          <w:color w:val="8B0000"/>
          <w:sz w:val="16"/>
        </w:rPr>
        <w:t>growth-scare</w:t>
      </w:r>
      <w:r>
        <w:t xml:space="preserve"> (oil up on supply shock, copper weak = supply-driven inflation, not demand)</w:t>
      </w:r>
    </w:p>
    <w:p>
      <w:pPr>
        <w:pStyle w:val="ListBullet"/>
      </w:pPr>
      <w:r>
        <w:t xml:space="preserve">UK_R2 </w:t>
      </w:r>
      <w:r>
        <w:rPr>
          <w:rFonts w:ascii="Consolas" w:hAnsi="Consolas"/>
          <w:color w:val="8B0000"/>
          <w:sz w:val="16"/>
        </w:rPr>
        <w:t>uk-inflation-elevated</w:t>
      </w:r>
      <w:r>
        <w:t xml:space="preserve"> (stagflation often hits UK hardest)</w:t>
      </w:r>
    </w:p>
    <w:p>
      <w:pPr/>
      <w:r/>
      <w:r>
        <w:rPr>
          <w:b/>
        </w:rPr>
        <w:t>Positioning:</w:t>
      </w:r>
      <w:r>
        <w:t xml:space="preserve"> OW gold, commodities as inflation hedge, TIPS. UW equities broadly, especially long-duration growth. UW long-duration nominal bonds. Reduce HY (US_Cr2 likely moving to </w:t>
      </w:r>
      <w:r>
        <w:rPr>
          <w:rFonts w:ascii="Consolas" w:hAnsi="Consolas"/>
          <w:color w:val="8B0000"/>
          <w:sz w:val="16"/>
        </w:rPr>
        <w:t>stress</w:t>
      </w:r>
      <w:r>
        <w:t>). Cash is a valid position. This quadrant is rare but devastating.</w:t>
      </w:r>
    </w:p>
    <w:p>
      <w:pPr>
        <w:pStyle w:val="Heading2"/>
      </w:pPr>
      <w:r>
        <w:t>Quadrant 4: Growth - / Inflation - (Deflation / Recession)</w:t>
      </w:r>
    </w:p>
    <w:p>
      <w:pPr/>
      <w:r/>
      <w:r>
        <w:rPr>
          <w:i/>
        </w:rPr>
        <w:t>Economy contracting, prices falling. Favour duration, quality, safe havens.</w:t>
      </w:r>
      <w:r/>
    </w:p>
    <w:p>
      <w:pPr/>
      <w:r/>
      <w:r>
        <w:rPr>
          <w:b/>
        </w:rPr>
        <w:t>Growth deterioration signals:</w:t>
      </w:r>
      <w:r/>
    </w:p>
    <w:p>
      <w:pPr>
        <w:pStyle w:val="ListBullet"/>
      </w:pPr>
      <w:r>
        <w:t xml:space="preserve">US_R1 </w:t>
      </w:r>
      <w:r>
        <w:rPr>
          <w:rFonts w:ascii="Consolas" w:hAnsi="Consolas"/>
          <w:color w:val="8B0000"/>
          <w:sz w:val="16"/>
        </w:rPr>
        <w:t>recession-watch</w:t>
      </w:r>
      <w:r>
        <w:t xml:space="preserve"> (inverted yield curve sustained &gt; 3 months)</w:t>
      </w:r>
    </w:p>
    <w:p>
      <w:pPr>
        <w:pStyle w:val="ListBullet"/>
      </w:pPr>
      <w:r>
        <w:t xml:space="preserve">US_Cr2 </w:t>
      </w:r>
      <w:r>
        <w:rPr>
          <w:rFonts w:ascii="Consolas" w:hAnsi="Consolas"/>
          <w:color w:val="8B0000"/>
          <w:sz w:val="16"/>
        </w:rPr>
        <w:t>stress</w:t>
      </w:r>
      <w:r>
        <w:t xml:space="preserve"> or </w:t>
      </w:r>
      <w:r>
        <w:rPr>
          <w:rFonts w:ascii="Consolas" w:hAnsi="Consolas"/>
          <w:color w:val="8B0000"/>
          <w:sz w:val="16"/>
        </w:rPr>
        <w:t>opportunity</w:t>
      </w:r>
      <w:r>
        <w:t xml:space="preserve"> + US_Cr3 widening</w:t>
      </w:r>
    </w:p>
    <w:p>
      <w:pPr>
        <w:pStyle w:val="ListBullet"/>
      </w:pPr>
      <w:r>
        <w:t xml:space="preserve">US_JOBS1 </w:t>
      </w:r>
      <w:r>
        <w:rPr>
          <w:rFonts w:ascii="Consolas" w:hAnsi="Consolas"/>
          <w:color w:val="8B0000"/>
          <w:sz w:val="16"/>
        </w:rPr>
        <w:t>labour-deteriorating</w:t>
      </w:r>
      <w:r>
        <w:t xml:space="preserve"> + US_JOBS2 </w:t>
      </w:r>
      <w:r>
        <w:rPr>
          <w:rFonts w:ascii="Consolas" w:hAnsi="Consolas"/>
          <w:color w:val="8B0000"/>
          <w:sz w:val="16"/>
        </w:rPr>
        <w:t>labour-slack</w:t>
      </w:r>
      <w:r/>
    </w:p>
    <w:p>
      <w:pPr>
        <w:pStyle w:val="ListBullet"/>
      </w:pPr>
      <w:r>
        <w:t xml:space="preserve">US_V1 </w:t>
      </w:r>
      <w:r>
        <w:rPr>
          <w:rFonts w:ascii="Consolas" w:hAnsi="Consolas"/>
          <w:color w:val="8B0000"/>
          <w:sz w:val="16"/>
        </w:rPr>
        <w:t>stress</w:t>
      </w:r>
      <w:r>
        <w:t xml:space="preserve"> (inverted vol term structure)</w:t>
      </w:r>
    </w:p>
    <w:p>
      <w:pPr>
        <w:pStyle w:val="ListBullet"/>
      </w:pPr>
      <w:r>
        <w:t xml:space="preserve">GL_CLI5 </w:t>
      </w:r>
      <w:r>
        <w:rPr>
          <w:rFonts w:ascii="Consolas" w:hAnsi="Consolas"/>
          <w:color w:val="8B0000"/>
          <w:sz w:val="16"/>
        </w:rPr>
        <w:t>contracting</w:t>
      </w:r>
      <w:r>
        <w:t xml:space="preserve"> + GL_G2 </w:t>
      </w:r>
      <w:r>
        <w:rPr>
          <w:rFonts w:ascii="Consolas" w:hAnsi="Consolas"/>
          <w:color w:val="8B0000"/>
          <w:sz w:val="16"/>
        </w:rPr>
        <w:t>global-risk-off</w:t>
      </w:r>
      <w:r/>
    </w:p>
    <w:p>
      <w:pPr>
        <w:pStyle w:val="ListBullet"/>
      </w:pPr>
      <w:r>
        <w:t xml:space="preserve">FX_2 </w:t>
      </w:r>
      <w:r>
        <w:rPr>
          <w:rFonts w:ascii="Consolas" w:hAnsi="Consolas"/>
          <w:color w:val="8B0000"/>
          <w:sz w:val="16"/>
        </w:rPr>
        <w:t>carry-unwind</w:t>
      </w:r>
      <w:r>
        <w:t xml:space="preserve"> (systemic deleveraging)</w:t>
      </w:r>
    </w:p>
    <w:p>
      <w:pPr>
        <w:pStyle w:val="ListBullet"/>
      </w:pPr>
      <w:r>
        <w:t xml:space="preserve">M1 </w:t>
      </w:r>
      <w:r>
        <w:rPr>
          <w:rFonts w:ascii="Consolas" w:hAnsi="Consolas"/>
          <w:color w:val="8B0000"/>
          <w:sz w:val="16"/>
        </w:rPr>
        <w:t>trend-down</w:t>
      </w:r>
      <w:r>
        <w:t xml:space="preserve"> + M2 </w:t>
      </w:r>
      <w:r>
        <w:rPr>
          <w:rFonts w:ascii="Consolas" w:hAnsi="Consolas"/>
          <w:color w:val="8B0000"/>
          <w:sz w:val="16"/>
        </w:rPr>
        <w:t>risk-off</w:t>
      </w:r>
      <w:r>
        <w:t xml:space="preserve"> + M4 </w:t>
      </w:r>
      <w:r>
        <w:rPr>
          <w:rFonts w:ascii="Consolas" w:hAnsi="Consolas"/>
          <w:color w:val="8B0000"/>
          <w:sz w:val="16"/>
        </w:rPr>
        <w:t>stress-regime</w:t>
      </w:r>
      <w:r/>
    </w:p>
    <w:p>
      <w:pPr/>
      <w:r/>
      <w:r>
        <w:rPr>
          <w:b/>
        </w:rPr>
        <w:t>Deflation signals:</w:t>
      </w:r>
      <w:r/>
    </w:p>
    <w:p>
      <w:pPr>
        <w:pStyle w:val="ListBullet"/>
      </w:pPr>
      <w:r>
        <w:t xml:space="preserve">US_R4 </w:t>
      </w:r>
      <w:r>
        <w:rPr>
          <w:rFonts w:ascii="Consolas" w:hAnsi="Consolas"/>
          <w:color w:val="8B0000"/>
          <w:sz w:val="16"/>
        </w:rPr>
        <w:t>disinflation</w:t>
      </w:r>
      <w:r>
        <w:t xml:space="preserve"> + US_R5 </w:t>
      </w:r>
      <w:r>
        <w:rPr>
          <w:rFonts w:ascii="Consolas" w:hAnsi="Consolas"/>
          <w:color w:val="8B0000"/>
          <w:sz w:val="16"/>
        </w:rPr>
        <w:t>high-real-rates</w:t>
      </w:r>
      <w:r/>
    </w:p>
    <w:p>
      <w:pPr>
        <w:pStyle w:val="ListBullet"/>
      </w:pPr>
      <w:r>
        <w:t xml:space="preserve">GL_CA_I1 </w:t>
      </w:r>
      <w:r>
        <w:rPr>
          <w:rFonts w:ascii="Consolas" w:hAnsi="Consolas"/>
          <w:color w:val="8B0000"/>
          <w:sz w:val="16"/>
        </w:rPr>
        <w:t>deflation-scare</w:t>
      </w:r>
      <w:r>
        <w:t xml:space="preserve"> (bonds outperforming commodities)</w:t>
      </w:r>
    </w:p>
    <w:p>
      <w:pPr>
        <w:pStyle w:val="ListBullet"/>
      </w:pPr>
      <w:r>
        <w:t xml:space="preserve">FX_CMD3 </w:t>
      </w:r>
      <w:r>
        <w:rPr>
          <w:rFonts w:ascii="Consolas" w:hAnsi="Consolas"/>
          <w:color w:val="8B0000"/>
          <w:sz w:val="16"/>
        </w:rPr>
        <w:t>deflation-risk</w:t>
      </w:r>
      <w:r>
        <w:t xml:space="preserve"> (gold outperforming oil)</w:t>
      </w:r>
    </w:p>
    <w:p>
      <w:pPr>
        <w:pStyle w:val="ListBullet"/>
      </w:pPr>
      <w:r>
        <w:t xml:space="preserve">FX_CMD1 </w:t>
      </w:r>
      <w:r>
        <w:rPr>
          <w:rFonts w:ascii="Consolas" w:hAnsi="Consolas"/>
          <w:color w:val="8B0000"/>
          <w:sz w:val="16"/>
        </w:rPr>
        <w:t>growth-scare</w:t>
      </w:r>
      <w:r>
        <w:t xml:space="preserve"> (gold outperforming copper)</w:t>
      </w:r>
    </w:p>
    <w:p>
      <w:pPr>
        <w:pStyle w:val="ListBullet"/>
      </w:pPr>
      <w:r>
        <w:t xml:space="preserve">FX_CMD6 </w:t>
      </w:r>
      <w:r>
        <w:rPr>
          <w:rFonts w:ascii="Consolas" w:hAnsi="Consolas"/>
          <w:color w:val="8B0000"/>
          <w:sz w:val="16"/>
        </w:rPr>
        <w:t>commodity-bear</w:t>
      </w:r>
      <w:r/>
    </w:p>
    <w:p>
      <w:pPr>
        <w:pStyle w:val="ListBullet"/>
      </w:pPr>
      <w:r>
        <w:t xml:space="preserve">US_M2 </w:t>
      </w:r>
      <w:r>
        <w:rPr>
          <w:rFonts w:ascii="Consolas" w:hAnsi="Consolas"/>
          <w:color w:val="8B0000"/>
          <w:sz w:val="16"/>
        </w:rPr>
        <w:t>tight-liquidity</w:t>
      </w:r>
      <w:r/>
    </w:p>
    <w:p>
      <w:pPr/>
      <w:r/>
      <w:r>
        <w:rPr>
          <w:b/>
        </w:rPr>
        <w:t>Positioning:</w:t>
      </w:r>
      <w:r>
        <w:t xml:space="preserve"> Max duration (long-dated govts). OW quality/defensives. UW equities, especially cyclicals and EM. Reduce HY and EM debt. Add JPY exposure (carry unwind benefits yen). US_Cr2 at </w:t>
      </w:r>
      <w:r>
        <w:rPr>
          <w:rFonts w:ascii="Consolas" w:hAnsi="Consolas"/>
          <w:color w:val="8B0000"/>
          <w:sz w:val="16"/>
        </w:rPr>
        <w:t>opportunity</w:t>
      </w:r>
      <w:r>
        <w:t xml:space="preserve"> (&gt;800bps) is historically the highest-conviction credit entry point — but only if growth signals begin stabilising.</w:t>
      </w:r>
    </w:p>
    <w:p>
      <w:pPr>
        <w:pStyle w:val="Heading1"/>
      </w:pPr>
      <w:r>
        <w:t>Naturally Leading Indicators</w:t>
      </w:r>
    </w:p>
    <w:p>
      <w:pPr/>
      <w:r>
        <w:t>These indicators are flagged as naturally leading — their current reading already embeds a forward signal: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0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Lead Mechanism</w:t>
            </w:r>
          </w:p>
        </w:tc>
        <w:tc>
          <w:tcPr>
            <w:tcW w:type="dxa" w:w="3408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Typical Lead Time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US_R1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Yield curve leads recession by 12-18 months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12-18 months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US_JOBS1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Initial claims lead payroll deterioration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2-4 months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US_HOUS1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Building permits lead construction employment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6-9 months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US_ISM1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New orders lead industrial production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3-6 months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US_M2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Money supply leads nominal GDP and asset prices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3-6 months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FX_2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JPY carry move precedes equity/EM impact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Days to 2-4 weeks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GL_CLI5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CLIs are themselves forward-looking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6-9 months</w:t>
            </w:r>
          </w:p>
        </w:tc>
      </w:tr>
      <w:tr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GL_CLI2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CLI differential leads relative equity returns</w:t>
            </w:r>
          </w:p>
        </w:tc>
        <w:tc>
          <w:tcPr>
            <w:tcW w:type="dxa" w:w="3408"/>
            <w:shd w:fill="D6E4F0" w:val="clear"/>
          </w:tcPr>
          <w:p>
            <w:r>
              <w:rPr>
                <w:sz w:val="16"/>
              </w:rPr>
              <w:t>6-9 months</w:t>
            </w:r>
          </w:p>
        </w:tc>
      </w:tr>
    </w:tbl>
    <w:p/>
    <w:p>
      <w:pPr/>
      <w:r/>
      <w:r>
        <w:rPr>
          <w:i/>
        </w:rPr>
        <w:t>End of Cheat Sheet — companion to the Indicator Manual (68 indicators across 7 sections: US, UK, Europe, Japan, Asia, Global, FX &amp; Commodities)</w:t>
      </w:r>
      <w:r/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