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60"/>
        <w:jc w:val="right"/>
      </w:pPr>
      <w:r>
        <w:rPr>
          <w:rFonts w:ascii="Times New Roman" w:hAnsi="Times New Roman"/>
          <w:b w:val="0"/>
          <w:i w:val="0"/>
          <w:color w:val="333333"/>
          <w:sz w:val="22"/>
        </w:rPr>
        <w:t>Kasim Vali Dudekula</w:t>
      </w:r>
    </w:p>
    <w:p>
      <w:pPr>
        <w:spacing w:line="276" w:lineRule="auto" w:after="160"/>
        <w:jc w:val="right"/>
      </w:pPr>
      <w:r>
        <w:rPr>
          <w:rFonts w:ascii="Times New Roman" w:hAnsi="Times New Roman"/>
          <w:b w:val="0"/>
          <w:i w:val="0"/>
          <w:color w:val="333333"/>
          <w:sz w:val="22"/>
        </w:rPr>
        <w:t>Independent Student Researcher</w:t>
      </w:r>
    </w:p>
    <w:p>
      <w:pPr>
        <w:spacing w:line="276" w:lineRule="auto" w:after="160"/>
        <w:jc w:val="right"/>
      </w:pPr>
      <w:r>
        <w:rPr>
          <w:rFonts w:ascii="Times New Roman" w:hAnsi="Times New Roman"/>
          <w:b w:val="0"/>
          <w:i w:val="0"/>
          <w:color w:val="333333"/>
          <w:sz w:val="22"/>
        </w:rPr>
        <w:t>Andhra Pradesh, India</w:t>
      </w:r>
    </w:p>
    <w:p>
      <w:pPr>
        <w:spacing w:line="276" w:lineRule="auto" w:after="160"/>
        <w:jc w:val="right"/>
      </w:pPr>
      <w:r>
        <w:rPr>
          <w:rFonts w:ascii="Times New Roman" w:hAnsi="Times New Roman"/>
          <w:b w:val="0"/>
          <w:i w:val="0"/>
          <w:color w:val="333333"/>
          <w:sz w:val="22"/>
        </w:rPr>
        <w:t>dudekula.kasimvali@outlook.com</w:t>
      </w:r>
    </w:p>
    <w:p>
      <w:pPr>
        <w:spacing w:line="276" w:lineRule="auto" w:after="160"/>
      </w:pPr>
      <w:r>
        <w:rPr>
          <w:rFonts w:ascii="Times New Roman" w:hAnsi="Times New Roman"/>
          <w:b w:val="0"/>
          <w:i w:val="0"/>
          <w:color w:val="333333"/>
          <w:sz w:val="22"/>
        </w:rPr>
        <w:t>May 29, 2026</w:t>
      </w:r>
    </w:p>
    <w:p>
      <w:pPr>
        <w:spacing w:line="276" w:lineRule="auto" w:after="160"/>
      </w:pPr>
      <w:r>
        <w:rPr>
          <w:rFonts w:ascii="Times New Roman" w:hAnsi="Times New Roman"/>
          <w:b w:val="0"/>
          <w:i w:val="0"/>
          <w:color w:val="333333"/>
          <w:sz w:val="22"/>
        </w:rPr>
        <w:t xml:space="preserve">To the Editors of </w:t>
      </w:r>
      <w:r>
        <w:rPr>
          <w:rFonts w:ascii="Times New Roman" w:hAnsi="Times New Roman"/>
          <w:b w:val="0"/>
          <w:i/>
          <w:color w:val="333333"/>
          <w:sz w:val="22"/>
        </w:rPr>
        <w:t>npj Digital Medicine</w:t>
      </w:r>
    </w:p>
    <w:p>
      <w:pPr>
        <w:spacing w:line="276" w:lineRule="auto" w:after="160"/>
      </w:pPr>
      <w:r>
        <w:rPr>
          <w:rFonts w:ascii="Times New Roman" w:hAnsi="Times New Roman"/>
          <w:b w:val="0"/>
          <w:i w:val="0"/>
          <w:color w:val="333333"/>
          <w:sz w:val="22"/>
        </w:rPr>
        <w:t>Springer Nature Group</w:t>
      </w:r>
    </w:p>
    <w:p>
      <w:pPr>
        <w:spacing w:line="276" w:lineRule="auto" w:after="160"/>
      </w:pPr>
      <w:r>
        <w:rPr>
          <w:rFonts w:ascii="Times New Roman" w:hAnsi="Times New Roman"/>
          <w:b/>
          <w:i w:val="0"/>
          <w:color w:val="333333"/>
          <w:sz w:val="22"/>
        </w:rPr>
        <w:t>Subject: Submission of Original Research Article</w:t>
      </w:r>
    </w:p>
    <w:p>
      <w:pPr>
        <w:spacing w:line="276" w:lineRule="auto" w:after="160"/>
      </w:pPr>
      <w:r>
        <w:rPr>
          <w:rFonts w:ascii="Times New Roman" w:hAnsi="Times New Roman"/>
          <w:b w:val="0"/>
          <w:i w:val="0"/>
          <w:color w:val="333333"/>
          <w:sz w:val="22"/>
        </w:rPr>
        <w:t>Dear Editor-in-Chief and Editors,</w:t>
      </w:r>
    </w:p>
    <w:p>
      <w:pPr>
        <w:spacing w:line="276" w:lineRule="auto" w:after="160"/>
      </w:pPr>
      <w:r>
        <w:rPr>
          <w:rFonts w:ascii="Times New Roman" w:hAnsi="Times New Roman"/>
          <w:b w:val="0"/>
          <w:i w:val="0"/>
          <w:color w:val="333333"/>
          <w:sz w:val="22"/>
        </w:rPr>
        <w:t xml:space="preserve">I am pleased to submit our original research article, titled </w:t>
      </w:r>
      <w:r>
        <w:rPr>
          <w:rFonts w:ascii="Times New Roman" w:hAnsi="Times New Roman"/>
          <w:b/>
          <w:i w:val="0"/>
          <w:color w:val="333333"/>
          <w:sz w:val="22"/>
        </w:rPr>
        <w:t>"Biomarker-Based Discriminative Cancer Risk Analysis with LLM Multi-Agent Explanation Consensus: A Cross-Sectional Population Study Introducing the Explanation Alignment Score (EAS)"</w:t>
      </w:r>
      <w:r>
        <w:rPr>
          <w:rFonts w:ascii="Times New Roman" w:hAnsi="Times New Roman"/>
          <w:b w:val="0"/>
          <w:i w:val="0"/>
          <w:color w:val="333333"/>
          <w:sz w:val="22"/>
        </w:rPr>
        <w:t xml:space="preserve">, for consideration for publication in </w:t>
      </w:r>
      <w:r>
        <w:rPr>
          <w:rFonts w:ascii="Times New Roman" w:hAnsi="Times New Roman"/>
          <w:b w:val="0"/>
          <w:i/>
          <w:color w:val="333333"/>
          <w:sz w:val="22"/>
        </w:rPr>
        <w:t>npj Digital Medicine</w:t>
      </w:r>
      <w:r>
        <w:rPr>
          <w:rFonts w:ascii="Times New Roman" w:hAnsi="Times New Roman"/>
          <w:b w:val="0"/>
          <w:i w:val="0"/>
          <w:color w:val="333333"/>
          <w:sz w:val="22"/>
        </w:rPr>
        <w:t>.</w:t>
      </w:r>
    </w:p>
    <w:p>
      <w:pPr>
        <w:spacing w:line="276" w:lineRule="auto" w:after="160"/>
      </w:pPr>
      <w:r>
        <w:rPr>
          <w:rFonts w:ascii="Times New Roman" w:hAnsi="Times New Roman"/>
          <w:b w:val="0"/>
          <w:i w:val="0"/>
          <w:color w:val="333333"/>
          <w:sz w:val="22"/>
        </w:rPr>
        <w:t>As clinical artificial intelligence transitions from standalone statistical models to hybrid systems where Large Language Models (LLMs) interpret machine learning (ML) predictions, a critical safety gap has emerged. While deep ensembles or classical classifiers can achieve high discrimination, their mathematical explanation frameworks (such as SHAP or LIME) are notoriously difficult for clinical practitioners to quickly interpret at the point of care. Conversely, while LLM clinical narrative agents can explain risk scores in natural language, they are prone to clinical hallucination and are decoupled from the mathematical features that actually drive the underlying classification model.</w:t>
      </w:r>
    </w:p>
    <w:p>
      <w:pPr>
        <w:spacing w:line="276" w:lineRule="auto" w:after="160"/>
      </w:pPr>
      <w:r>
        <w:rPr>
          <w:rFonts w:ascii="Times New Roman" w:hAnsi="Times New Roman"/>
          <w:b w:val="0"/>
          <w:i w:val="0"/>
          <w:color w:val="333333"/>
          <w:sz w:val="22"/>
        </w:rPr>
        <w:t>To bridge this gap, our study presents two key novel contributions:</w:t>
      </w:r>
    </w:p>
    <w:p>
      <w:pPr>
        <w:spacing w:line="276" w:lineRule="auto" w:after="160"/>
      </w:pPr>
      <w:r>
        <w:rPr>
          <w:rFonts w:ascii="Times New Roman" w:hAnsi="Times New Roman"/>
          <w:b w:val="0"/>
          <w:i w:val="0"/>
          <w:color w:val="333333"/>
          <w:sz w:val="22"/>
        </w:rPr>
        <w:t xml:space="preserve">1.  </w:t>
      </w:r>
      <w:r>
        <w:rPr>
          <w:rFonts w:ascii="Times New Roman" w:hAnsi="Times New Roman"/>
          <w:b/>
          <w:i w:val="0"/>
          <w:color w:val="333333"/>
          <w:sz w:val="22"/>
        </w:rPr>
        <w:t>The Explanation Alignment Score (EAS)</w:t>
      </w:r>
      <w:r>
        <w:rPr>
          <w:rFonts w:ascii="Times New Roman" w:hAnsi="Times New Roman"/>
          <w:b w:val="0"/>
          <w:i w:val="0"/>
          <w:color w:val="333333"/>
          <w:sz w:val="22"/>
        </w:rPr>
        <w:t>: A novel, formally defined, and deterministic metric that quantifies feature-level alignment between LLM natural language clinical explanations and mathematical feature attributions (SHAP/LIME).</w:t>
      </w:r>
    </w:p>
    <w:p>
      <w:pPr>
        <w:spacing w:line="276" w:lineRule="auto" w:after="160"/>
      </w:pPr>
      <w:r>
        <w:rPr>
          <w:rFonts w:ascii="Times New Roman" w:hAnsi="Times New Roman"/>
          <w:b w:val="0"/>
          <w:i w:val="0"/>
          <w:color w:val="333333"/>
          <w:sz w:val="22"/>
        </w:rPr>
        <w:t xml:space="preserve">2.  </w:t>
      </w:r>
      <w:r>
        <w:rPr>
          <w:rFonts w:ascii="Times New Roman" w:hAnsi="Times New Roman"/>
          <w:b/>
          <w:i w:val="0"/>
          <w:color w:val="333333"/>
          <w:sz w:val="22"/>
        </w:rPr>
        <w:t>An Automated Clinical Hallucination Scorer</w:t>
      </w:r>
      <w:r>
        <w:rPr>
          <w:rFonts w:ascii="Times New Roman" w:hAnsi="Times New Roman"/>
          <w:b w:val="0"/>
          <w:i w:val="0"/>
          <w:color w:val="333333"/>
          <w:sz w:val="22"/>
        </w:rPr>
        <w:t>: A reproducible, regex-based algorithm with a $\pm15\%$ relative tolerance threshold that algorithmically measures the frequency of numeric clinical claims in LLM output against the patient's actual biomarker profile—eliminating the need for expensive, non-reproducible manual clinical labeling.</w:t>
      </w:r>
    </w:p>
    <w:p>
      <w:pPr>
        <w:spacing w:line="276" w:lineRule="auto" w:after="160"/>
      </w:pPr>
      <w:r>
        <w:rPr>
          <w:rFonts w:ascii="Times New Roman" w:hAnsi="Times New Roman"/>
          <w:b w:val="0"/>
          <w:i w:val="0"/>
          <w:color w:val="333333"/>
          <w:sz w:val="22"/>
        </w:rPr>
        <w:t xml:space="preserve">We evaluate these contributions on a cohort of </w:t>
      </w:r>
      <w:r>
        <w:rPr>
          <w:rFonts w:ascii="Times New Roman" w:hAnsi="Times New Roman"/>
          <w:b/>
          <w:i w:val="0"/>
          <w:color w:val="333333"/>
          <w:sz w:val="22"/>
        </w:rPr>
        <w:t>16,762 patients</w:t>
      </w:r>
      <w:r>
        <w:rPr>
          <w:rFonts w:ascii="Times New Roman" w:hAnsi="Times New Roman"/>
          <w:b w:val="0"/>
          <w:i w:val="0"/>
          <w:color w:val="333333"/>
          <w:sz w:val="22"/>
        </w:rPr>
        <w:t xml:space="preserve"> from the CDC’s National Health and Nutrition Examination Survey (NHANES) spanning 2013 to 2018, containing 485 self-reported cancer cases (lung, liver, and colorectal). Our baseline cross-validated Gradient Boosting classifier achieves robust discriminative performance (AUROC = 0.724, 95% CI [0.706, 0.744], p &lt; 0.001).</w:t>
      </w:r>
    </w:p>
    <w:p>
      <w:pPr>
        <w:spacing w:line="276" w:lineRule="auto" w:after="160"/>
      </w:pPr>
      <w:r>
        <w:rPr>
          <w:rFonts w:ascii="Times New Roman" w:hAnsi="Times New Roman"/>
          <w:b w:val="0"/>
          <w:i w:val="0"/>
          <w:color w:val="333333"/>
          <w:sz w:val="22"/>
        </w:rPr>
        <w:t xml:space="preserve">We then implement a state-of-the-art </w:t>
      </w:r>
      <w:r>
        <w:rPr>
          <w:rFonts w:ascii="Times New Roman" w:hAnsi="Times New Roman"/>
          <w:b/>
          <w:i w:val="0"/>
          <w:color w:val="333333"/>
          <w:sz w:val="22"/>
        </w:rPr>
        <w:t>5-role multi-agent LLM consensus pipeline</w:t>
      </w:r>
      <w:r>
        <w:rPr>
          <w:rFonts w:ascii="Times New Roman" w:hAnsi="Times New Roman"/>
          <w:b w:val="0"/>
          <w:i w:val="0"/>
          <w:color w:val="333333"/>
          <w:sz w:val="22"/>
        </w:rPr>
        <w:t xml:space="preserve"> (Biomarker Analyst, Risk Stratifier, Differential Diagnoser, PubMed RAG Evidence Grounder, and Triage Coordinator) and evaluate it on a stratified sample of </w:t>
      </w:r>
      <w:r>
        <w:rPr>
          <w:rFonts w:ascii="Times New Roman" w:hAnsi="Times New Roman"/>
          <w:b/>
          <w:i w:val="0"/>
          <w:color w:val="333333"/>
          <w:sz w:val="22"/>
        </w:rPr>
        <w:t>100 real patients</w:t>
      </w:r>
      <w:r>
        <w:rPr>
          <w:rFonts w:ascii="Times New Roman" w:hAnsi="Times New Roman"/>
          <w:b w:val="0"/>
          <w:i w:val="0"/>
          <w:color w:val="333333"/>
          <w:sz w:val="22"/>
        </w:rPr>
        <w:t xml:space="preserve"> using LLaMA 3.3 70B (via Groq). Through a rigorous 4-condition ablation study, we demonstrate that while increasing pipeline complexity and adding RAG significantly reduces numeric clinical hallucinations (from 0.161 down to 0.062), LLM narrative features remain only modestly aligned with ML-attributed features (EAS Jaccard = 0.014). This honest, empirical finding reveals a fundamental divergence between LLM semantic reasoning and ML statistical attribution in clinical AI—a finding of critical interest to the readership of </w:t>
      </w:r>
      <w:r>
        <w:rPr>
          <w:rFonts w:ascii="Times New Roman" w:hAnsi="Times New Roman"/>
          <w:b w:val="0"/>
          <w:i/>
          <w:color w:val="333333"/>
          <w:sz w:val="22"/>
        </w:rPr>
        <w:t>npj Digital Medicine</w:t>
      </w:r>
      <w:r>
        <w:rPr>
          <w:rFonts w:ascii="Times New Roman" w:hAnsi="Times New Roman"/>
          <w:b w:val="0"/>
          <w:i w:val="0"/>
          <w:color w:val="333333"/>
          <w:sz w:val="22"/>
        </w:rPr>
        <w:t>.</w:t>
      </w:r>
    </w:p>
    <w:p>
      <w:pPr>
        <w:spacing w:line="276" w:lineRule="auto" w:after="160"/>
      </w:pPr>
      <w:r>
        <w:rPr>
          <w:rFonts w:ascii="Times New Roman" w:hAnsi="Times New Roman"/>
          <w:b w:val="0"/>
          <w:i w:val="0"/>
          <w:color w:val="333333"/>
          <w:sz w:val="22"/>
        </w:rPr>
        <w:t xml:space="preserve">We chose </w:t>
      </w:r>
      <w:r>
        <w:rPr>
          <w:rFonts w:ascii="Times New Roman" w:hAnsi="Times New Roman"/>
          <w:b w:val="0"/>
          <w:i/>
          <w:color w:val="333333"/>
          <w:sz w:val="22"/>
        </w:rPr>
        <w:t>npj Digital Medicine</w:t>
      </w:r>
      <w:r>
        <w:rPr>
          <w:rFonts w:ascii="Times New Roman" w:hAnsi="Times New Roman"/>
          <w:b w:val="0"/>
          <w:i w:val="0"/>
          <w:color w:val="333333"/>
          <w:sz w:val="22"/>
        </w:rPr>
        <w:t xml:space="preserve"> because of its prominent leadership in publishing high-fidelity, open-source clinical machine learning pipelines that combine rigorous technical innovation with honest clinical framing. All code, intermediate data structures, and the complete 41-figure visualization registry have been made fully open-source under the Apache 2.0 license to ensure complete clinical reproducibility.</w:t>
      </w:r>
    </w:p>
    <w:p>
      <w:pPr>
        <w:spacing w:line="276" w:lineRule="auto" w:after="160"/>
      </w:pPr>
      <w:r>
        <w:rPr>
          <w:rFonts w:ascii="Times New Roman" w:hAnsi="Times New Roman"/>
          <w:b w:val="0"/>
          <w:i w:val="0"/>
          <w:color w:val="333333"/>
          <w:sz w:val="22"/>
        </w:rPr>
        <w:t>This manuscript is original work and has been conducted independently as a student research project. It has not been published or submitted elsewhere. There are no competing financial or non-financial interests to declare.</w:t>
      </w:r>
    </w:p>
    <w:p>
      <w:pPr>
        <w:spacing w:line="276" w:lineRule="auto" w:after="160"/>
      </w:pPr>
      <w:r>
        <w:rPr>
          <w:rFonts w:ascii="Times New Roman" w:hAnsi="Times New Roman"/>
          <w:b w:val="0"/>
          <w:i w:val="0"/>
          <w:color w:val="333333"/>
          <w:sz w:val="22"/>
        </w:rPr>
        <w:t>Thank you for your time and consideration of my work.</w:t>
      </w:r>
    </w:p>
    <w:p>
      <w:pPr>
        <w:spacing w:line="276" w:lineRule="auto" w:after="160"/>
        <w:jc w:val="left"/>
      </w:pPr>
      <w:r>
        <w:rPr>
          <w:rFonts w:ascii="Times New Roman" w:hAnsi="Times New Roman"/>
          <w:b w:val="0"/>
          <w:i w:val="0"/>
          <w:color w:val="333333"/>
          <w:sz w:val="22"/>
        </w:rPr>
        <w:t>Sincerely,</w:t>
      </w:r>
    </w:p>
    <w:p>
      <w:pPr>
        <w:spacing w:line="276" w:lineRule="auto" w:after="160"/>
      </w:pPr>
      <w:r>
        <w:rPr>
          <w:rFonts w:ascii="Times New Roman" w:hAnsi="Times New Roman"/>
          <w:b w:val="0"/>
          <w:i w:val="0"/>
          <w:color w:val="333333"/>
          <w:sz w:val="22"/>
        </w:rPr>
        <w:t>Kasim Vali Dudekula</w:t>
      </w:r>
    </w:p>
    <w:p>
      <w:pPr>
        <w:spacing w:line="276" w:lineRule="auto" w:after="160"/>
      </w:pPr>
      <w:r>
        <w:rPr>
          <w:rFonts w:ascii="Times New Roman" w:hAnsi="Times New Roman"/>
          <w:b w:val="0"/>
          <w:i w:val="0"/>
          <w:color w:val="333333"/>
          <w:sz w:val="22"/>
        </w:rPr>
        <w:t>Independent Student Researcher</w:t>
      </w:r>
    </w:p>
    <w:p>
      <w:pPr>
        <w:spacing w:line="276" w:lineRule="auto" w:after="160"/>
      </w:pPr>
      <w:r>
        <w:rPr>
          <w:rFonts w:ascii="Times New Roman" w:hAnsi="Times New Roman"/>
          <w:b w:val="0"/>
          <w:i w:val="0"/>
          <w:color w:val="333333"/>
          <w:sz w:val="22"/>
        </w:rPr>
        <w:t>Andhra Pradesh, India</w:t>
      </w:r>
    </w:p>
    <w:p>
      <w:pPr>
        <w:spacing w:line="276" w:lineRule="auto" w:after="160"/>
        <w:jc w:val="left"/>
      </w:pPr>
      <w:r>
        <w:rPr>
          <w:rFonts w:ascii="Times New Roman" w:hAnsi="Times New Roman"/>
          <w:b w:val="0"/>
          <w:i w:val="0"/>
          <w:color w:val="333333"/>
          <w:sz w:val="22"/>
        </w:rPr>
        <w:t>dudekula.kasimvali@outlook.com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