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i w:val="0"/>
          <w:color w:val="333333"/>
          <w:sz w:val="36"/>
        </w:rPr>
        <w:t>Biomarker-Based Discriminative Cancer Risk Analysis with LLM Multi-Agent Explanation Consensus: A Cross-Sectional Population Study Introducing the Explanation Alignment Score (EAS)</w:t>
      </w:r>
    </w:p>
    <w:p>
      <w:pPr>
        <w:spacing w:line="360" w:lineRule="auto" w:after="200" w:before="0"/>
      </w:pPr>
      <w:r>
        <w:rPr>
          <w:rFonts w:ascii="Times New Roman" w:hAnsi="Times New Roman"/>
          <w:b/>
          <w:i w:val="0"/>
          <w:color w:val="333333"/>
          <w:sz w:val="22"/>
        </w:rPr>
        <w:t>Author</w:t>
      </w:r>
      <w:r>
        <w:rPr>
          <w:rFonts w:ascii="Times New Roman" w:hAnsi="Times New Roman"/>
          <w:b w:val="0"/>
          <w:i w:val="0"/>
          <w:color w:val="333333"/>
          <w:sz w:val="22"/>
        </w:rPr>
        <w:t>: Kasim Vali Dudekula</w:t>
      </w:r>
    </w:p>
    <w:p>
      <w:pPr>
        <w:spacing w:line="360" w:lineRule="auto" w:after="200" w:before="0"/>
      </w:pPr>
      <w:r>
        <w:rPr>
          <w:rFonts w:ascii="Times New Roman" w:hAnsi="Times New Roman"/>
          <w:b/>
          <w:i w:val="0"/>
          <w:color w:val="333333"/>
          <w:sz w:val="22"/>
        </w:rPr>
        <w:t>Affiliation</w:t>
      </w:r>
      <w:r>
        <w:rPr>
          <w:rFonts w:ascii="Times New Roman" w:hAnsi="Times New Roman"/>
          <w:b w:val="0"/>
          <w:i w:val="0"/>
          <w:color w:val="333333"/>
          <w:sz w:val="22"/>
        </w:rPr>
        <w:t>: Independent Student Researcher, Andhra Pradesh, India</w:t>
      </w:r>
    </w:p>
    <w:p>
      <w:pPr>
        <w:spacing w:line="360" w:lineRule="auto" w:after="200" w:before="0"/>
      </w:pPr>
      <w:r>
        <w:rPr>
          <w:rFonts w:ascii="Times New Roman" w:hAnsi="Times New Roman"/>
          <w:b/>
          <w:i w:val="0"/>
          <w:color w:val="333333"/>
          <w:sz w:val="22"/>
        </w:rPr>
        <w:t>Correspondence</w:t>
      </w:r>
      <w:r>
        <w:rPr>
          <w:rFonts w:ascii="Times New Roman" w:hAnsi="Times New Roman"/>
          <w:b w:val="0"/>
          <w:i w:val="0"/>
          <w:color w:val="333333"/>
          <w:sz w:val="22"/>
        </w:rPr>
        <w:t>: dudekula.kasimvali@outlook.com</w:t>
      </w:r>
    </w:p>
    <w:p>
      <w:pPr>
        <w:spacing w:line="360" w:lineRule="auto" w:after="200" w:before="0"/>
      </w:pPr>
      <w:r>
        <w:rPr>
          <w:rFonts w:ascii="Times New Roman" w:hAnsi="Times New Roman"/>
          <w:b/>
          <w:i w:val="0"/>
          <w:color w:val="333333"/>
          <w:sz w:val="22"/>
        </w:rPr>
        <w:t>Journal Target</w:t>
      </w:r>
      <w:r>
        <w:rPr>
          <w:rFonts w:ascii="Times New Roman" w:hAnsi="Times New Roman"/>
          <w:b w:val="0"/>
          <w:i w:val="0"/>
          <w:color w:val="333333"/>
          <w:sz w:val="22"/>
        </w:rPr>
        <w:t xml:space="preserve">: </w:t>
      </w:r>
      <w:r>
        <w:rPr>
          <w:rFonts w:ascii="Times New Roman" w:hAnsi="Times New Roman"/>
          <w:b w:val="0"/>
          <w:i/>
          <w:color w:val="333333"/>
          <w:sz w:val="22"/>
        </w:rPr>
        <w:t>npj Digital Medicine</w:t>
      </w:r>
    </w:p>
    <w:p>
      <w:pPr>
        <w:spacing w:line="360" w:lineRule="auto" w:after="200" w:before="0"/>
      </w:pPr>
      <w:r>
        <w:rPr>
          <w:rFonts w:ascii="Times New Roman" w:hAnsi="Times New Roman"/>
          <w:b/>
          <w:i w:val="0"/>
          <w:color w:val="333333"/>
          <w:sz w:val="22"/>
        </w:rPr>
        <w:t>Category</w:t>
      </w:r>
      <w:r>
        <w:rPr>
          <w:rFonts w:ascii="Times New Roman" w:hAnsi="Times New Roman"/>
          <w:b w:val="0"/>
          <w:i w:val="0"/>
          <w:color w:val="333333"/>
          <w:sz w:val="22"/>
        </w:rPr>
        <w:t>: Original Article</w:t>
      </w:r>
    </w:p>
    <w:p>
      <w:pPr>
        <w:spacing w:line="360" w:lineRule="auto" w:after="200" w:before="0"/>
      </w:pPr>
      <w:r>
        <w:rPr>
          <w:rFonts w:ascii="Times New Roman" w:hAnsi="Times New Roman"/>
          <w:b/>
          <w:i w:val="0"/>
          <w:color w:val="333333"/>
          <w:sz w:val="22"/>
        </w:rPr>
        <w:t>Author Contributions</w:t>
      </w:r>
      <w:r>
        <w:rPr>
          <w:rFonts w:ascii="Times New Roman" w:hAnsi="Times New Roman"/>
          <w:b w:val="0"/>
          <w:i w:val="0"/>
          <w:color w:val="333333"/>
          <w:sz w:val="22"/>
        </w:rPr>
        <w:t>:</w:t>
      </w:r>
    </w:p>
    <w:p>
      <w:pPr>
        <w:spacing w:before="160" w:after="160"/>
        <w:ind w:left="576" w:right="576"/>
        <w:shd w:fill="F9F9F9"/>
        <w:pBdr>
          <w:left w:val="single" w:sz="18" w:space="8" w:color="0086B3"/>
        </w:pBdr>
      </w:pPr>
      <w:r>
        <w:rPr>
          <w:rFonts w:ascii="Times New Roman" w:hAnsi="Times New Roman"/>
          <w:b w:val="0"/>
          <w:i/>
          <w:color w:val="333333"/>
          <w:sz w:val="20"/>
        </w:rPr>
        <w:t>K.V.D. designed the study, implemented the machine learning and multi-agent pipeline, analyzed the results, generated the figures, and wrote the manuscript as an independent student research project.</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Abstract</w:t>
      </w:r>
    </w:p>
    <w:p>
      <w:pPr>
        <w:spacing w:line="360" w:lineRule="auto" w:after="200" w:before="0"/>
      </w:pPr>
      <w:r>
        <w:rPr>
          <w:rFonts w:ascii="Times New Roman" w:hAnsi="Times New Roman"/>
          <w:b/>
          <w:i w:val="0"/>
          <w:color w:val="333333"/>
          <w:sz w:val="22"/>
        </w:rPr>
        <w:t>Background</w:t>
      </w:r>
      <w:r>
        <w:rPr>
          <w:rFonts w:ascii="Times New Roman" w:hAnsi="Times New Roman"/>
          <w:b w:val="0"/>
          <w:i w:val="0"/>
          <w:color w:val="333333"/>
          <w:sz w:val="22"/>
        </w:rPr>
        <w:t>: As clinical artificial intelligence transitions from standalone statistical models to hybrid systems where Large Language Models (LLMs) interpret machine learning (ML) predictions, validating the alignment and safety of these explanations is crucial. Standalone ML explanation methods (e.g., SHAP, LIME) are mathematically robust but highly difficult for clinicians to interpret under time constraints, while LLM narrative generators are clinically fluent but prone to hallucination and decoupled from the mathematical features driving the classifier.</w:t>
      </w:r>
    </w:p>
    <w:p>
      <w:pPr>
        <w:spacing w:line="360" w:lineRule="auto" w:after="200" w:before="0"/>
      </w:pPr>
      <w:r>
        <w:rPr>
          <w:rFonts w:ascii="Times New Roman" w:hAnsi="Times New Roman"/>
          <w:b/>
          <w:i w:val="0"/>
          <w:color w:val="333333"/>
          <w:sz w:val="22"/>
        </w:rPr>
        <w:t>Methods</w:t>
      </w:r>
      <w:r>
        <w:rPr>
          <w:rFonts w:ascii="Times New Roman" w:hAnsi="Times New Roman"/>
          <w:b w:val="0"/>
          <w:i w:val="0"/>
          <w:color w:val="333333"/>
          <w:sz w:val="22"/>
        </w:rPr>
        <w:t xml:space="preserve">: We developed a proof-of-concept framework using a cross-sectional population cohort from the CDC's National Health and Nutrition Examination Survey (NHANES 2013–2018, $n=16,762$; 485 cancer cases) to discriminate cancer-associated routine blood biomarker patterns. A Gradient Boosting classifier was trained and evaluated using Stratified 5-Fold Cross-Validation. We implemented a 5-role LLM multi-agent consensus pipeline (LLaMA 3.3 70B via Groq) with PubMed Retrieval-Augmented Generation (RAG) to explain model risk predictions. We propose the </w:t>
      </w:r>
      <w:r>
        <w:rPr>
          <w:rFonts w:ascii="Times New Roman" w:hAnsi="Times New Roman"/>
          <w:b/>
          <w:i w:val="0"/>
          <w:color w:val="333333"/>
          <w:sz w:val="22"/>
        </w:rPr>
        <w:t>Explanation Alignment Score (EAS)</w:t>
      </w:r>
      <w:r>
        <w:rPr>
          <w:rFonts w:ascii="Times New Roman" w:hAnsi="Times New Roman"/>
          <w:b w:val="0"/>
          <w:i w:val="0"/>
          <w:color w:val="333333"/>
          <w:sz w:val="22"/>
        </w:rPr>
        <w:t>, a deterministic metric quantifying feature-level alignment between LLM narratives and SHAP attributions, and a formal regex-based numeric hallucination scorer with a $\pm15\%$ relative tolerance. The pipeline was evaluated on a stratified sample of $n=100$ real patients.</w:t>
      </w:r>
    </w:p>
    <w:p>
      <w:pPr>
        <w:spacing w:line="360" w:lineRule="auto" w:after="200" w:before="0"/>
      </w:pPr>
      <w:r>
        <w:rPr>
          <w:rFonts w:ascii="Times New Roman" w:hAnsi="Times New Roman"/>
          <w:b/>
          <w:i w:val="0"/>
          <w:color w:val="333333"/>
          <w:sz w:val="22"/>
        </w:rPr>
        <w:t>Results</w:t>
      </w:r>
      <w:r>
        <w:rPr>
          <w:rFonts w:ascii="Times New Roman" w:hAnsi="Times New Roman"/>
          <w:b w:val="0"/>
          <w:i w:val="0"/>
          <w:color w:val="333333"/>
          <w:sz w:val="22"/>
        </w:rPr>
        <w:t>: The Gradient Boosting model achieved robust discriminative performance (AUROC = 0.724, 95% CI [0.706, 0.744], AUPRC = 0.068, permutation test $p &lt; 0.001$). Under a 4-condition ablation study (ML-Only, Single LLM, RAG-Augmented, and 5-Agent Pipeline), increasing pipeline complexity and adding RAG significantly reduced numeric hallucinations (from 0.161 down to 0.062), but LLM narrative features remained only weakly aligned with mathematical SHAP attributions (EAS Jaccard = 0.014). This alignment was robust across SHAP, LIME, and Permutation Importance explainer methods (cross-method Kendall's $\tau = 0.613$, $p &lt; 0.001$).</w:t>
      </w:r>
    </w:p>
    <w:p>
      <w:pPr>
        <w:spacing w:line="360" w:lineRule="auto" w:after="200" w:before="0"/>
      </w:pPr>
      <w:r>
        <w:rPr>
          <w:rFonts w:ascii="Times New Roman" w:hAnsi="Times New Roman"/>
          <w:b/>
          <w:i w:val="0"/>
          <w:color w:val="333333"/>
          <w:sz w:val="22"/>
        </w:rPr>
        <w:t>Conclusions</w:t>
      </w:r>
      <w:r>
        <w:rPr>
          <w:rFonts w:ascii="Times New Roman" w:hAnsi="Times New Roman"/>
          <w:b w:val="0"/>
          <w:i w:val="0"/>
          <w:color w:val="333333"/>
          <w:sz w:val="22"/>
        </w:rPr>
        <w:t>: While multi-agent clinical architectures and RAG successfully suppress clinical hallucinations, they do not inherently improve alignment with the mathematical features driving the underlying classifier. This fundamental divergence highlight a critical safety gap that must be addressed before translating hybrid LLM-ML explanation systems into active clinical decision support.</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1. Introduction</w:t>
      </w:r>
    </w:p>
    <w:p>
      <w:pPr>
        <w:spacing w:line="360" w:lineRule="auto" w:after="200" w:before="0"/>
      </w:pPr>
      <w:r>
        <w:rPr>
          <w:rFonts w:ascii="Times New Roman" w:hAnsi="Times New Roman"/>
          <w:b w:val="0"/>
          <w:i w:val="0"/>
          <w:color w:val="333333"/>
          <w:sz w:val="22"/>
        </w:rPr>
        <w:t>Machine learning systems have demonstrated significant progress in identifying complex clinical patterns from routine electronic health records and laboratory panels. In oncology, multi-cancer early detection and discriminative risk analysis have emerged as high-impact areas, as early risk stratification can drastically reduce clinical burden and guide diagnostic pathways. However, a major bottleneck preventing the widespread adoption of these models in clinical practice is the lack of interpretable, safe, and actionable explanations.</w:t>
      </w:r>
    </w:p>
    <w:p>
      <w:pPr>
        <w:spacing w:line="360" w:lineRule="auto" w:after="200" w:before="0"/>
      </w:pPr>
      <w:r>
        <w:rPr>
          <w:rFonts w:ascii="Times New Roman" w:hAnsi="Times New Roman"/>
          <w:b w:val="0"/>
          <w:i w:val="0"/>
          <w:color w:val="333333"/>
          <w:sz w:val="22"/>
        </w:rPr>
        <w:t>To explain complex, non-linear machine learning models (such as Gradient Boosting, Random Forests, or Deep Neural Networks), explainable AI (XAI) frameworks like SHAP (SHapley Additive exPlanations) and LIME (Local Interpretable Model-agnostic Explanations) are widely used. While mathematically elegant and theoretically grounded in game theory, SHAP values present significant challenges at the point of care:</w:t>
      </w:r>
    </w:p>
    <w:p>
      <w:pPr>
        <w:spacing w:line="360" w:lineRule="auto" w:after="200" w:before="0"/>
      </w:pPr>
      <w:r>
        <w:rPr>
          <w:rFonts w:ascii="Times New Roman" w:hAnsi="Times New Roman"/>
          <w:b w:val="0"/>
          <w:i w:val="0"/>
          <w:color w:val="333333"/>
          <w:sz w:val="22"/>
        </w:rPr>
        <w:t xml:space="preserve">1.  </w:t>
      </w:r>
      <w:r>
        <w:rPr>
          <w:rFonts w:ascii="Times New Roman" w:hAnsi="Times New Roman"/>
          <w:b/>
          <w:i w:val="0"/>
          <w:color w:val="333333"/>
          <w:sz w:val="22"/>
        </w:rPr>
        <w:t>Cognitive Overload</w:t>
      </w:r>
      <w:r>
        <w:rPr>
          <w:rFonts w:ascii="Times New Roman" w:hAnsi="Times New Roman"/>
          <w:b w:val="0"/>
          <w:i w:val="0"/>
          <w:color w:val="333333"/>
          <w:sz w:val="22"/>
        </w:rPr>
        <w:t>: Clinicians must interpret complex high-dimensional feature attribution plots containing dozens of continuous laboratory features under severe time constraints.</w:t>
      </w:r>
    </w:p>
    <w:p>
      <w:pPr>
        <w:spacing w:line="360" w:lineRule="auto" w:after="200" w:before="0"/>
      </w:pPr>
      <w:r>
        <w:rPr>
          <w:rFonts w:ascii="Times New Roman" w:hAnsi="Times New Roman"/>
          <w:b w:val="0"/>
          <w:i w:val="0"/>
          <w:color w:val="333333"/>
          <w:sz w:val="22"/>
        </w:rPr>
        <w:t xml:space="preserve">2.  </w:t>
      </w:r>
      <w:r>
        <w:rPr>
          <w:rFonts w:ascii="Times New Roman" w:hAnsi="Times New Roman"/>
          <w:b/>
          <w:i w:val="0"/>
          <w:color w:val="333333"/>
          <w:sz w:val="22"/>
        </w:rPr>
        <w:t>Lack of Narrative Context</w:t>
      </w:r>
      <w:r>
        <w:rPr>
          <w:rFonts w:ascii="Times New Roman" w:hAnsi="Times New Roman"/>
          <w:b w:val="0"/>
          <w:i w:val="0"/>
          <w:color w:val="333333"/>
          <w:sz w:val="22"/>
        </w:rPr>
        <w:t xml:space="preserve">: Mathematical attributions state </w:t>
      </w:r>
      <w:r>
        <w:rPr>
          <w:rFonts w:ascii="Times New Roman" w:hAnsi="Times New Roman"/>
          <w:b w:val="0"/>
          <w:i/>
          <w:color w:val="333333"/>
          <w:sz w:val="22"/>
        </w:rPr>
        <w:t>which</w:t>
      </w:r>
      <w:r>
        <w:rPr>
          <w:rFonts w:ascii="Times New Roman" w:hAnsi="Times New Roman"/>
          <w:b w:val="0"/>
          <w:i w:val="0"/>
          <w:color w:val="333333"/>
          <w:sz w:val="22"/>
        </w:rPr>
        <w:t xml:space="preserve"> features are important, but do not provide the pathophysiological context, clinical logic, or literature evidence explaining </w:t>
      </w:r>
      <w:r>
        <w:rPr>
          <w:rFonts w:ascii="Times New Roman" w:hAnsi="Times New Roman"/>
          <w:b w:val="0"/>
          <w:i/>
          <w:color w:val="333333"/>
          <w:sz w:val="22"/>
        </w:rPr>
        <w:t>why</w:t>
      </w:r>
      <w:r>
        <w:rPr>
          <w:rFonts w:ascii="Times New Roman" w:hAnsi="Times New Roman"/>
          <w:b w:val="0"/>
          <w:i w:val="0"/>
          <w:color w:val="333333"/>
          <w:sz w:val="22"/>
        </w:rPr>
        <w:t xml:space="preserve"> those features are abnormal in a specific clinical context.</w:t>
      </w:r>
    </w:p>
    <w:p>
      <w:pPr>
        <w:spacing w:line="360" w:lineRule="auto" w:after="200" w:before="0"/>
      </w:pPr>
      <w:r>
        <w:rPr>
          <w:rFonts w:ascii="Times New Roman" w:hAnsi="Times New Roman"/>
          <w:b w:val="0"/>
          <w:i w:val="0"/>
          <w:color w:val="333333"/>
          <w:sz w:val="22"/>
        </w:rPr>
        <w:t>To solve this, hybrid systems have been proposed where Large Language Models (LLMs) act as communicative interfaces, translating raw patient records and ML explanations into natural language clinical narratives. However, standalone LLMs are prone to "hallucinations"—generating convincing-sounding but clinically incorrect numeric data or inventing literature citations. Moreover, there is no guarantee that the clinical narrative generated by an LLM is actually grounded in the same statistical features that drove the mathematical classifier's risk score. An LLM might write a highly persuasive explanation focusing on a patient's elevated white blood cell count, while the underlying model's risk score was entirely driven by declining hemoglobin and albumin.</w:t>
      </w:r>
    </w:p>
    <w:p>
      <w:pPr>
        <w:spacing w:line="360" w:lineRule="auto" w:after="200" w:before="0"/>
      </w:pPr>
      <w:r>
        <w:rPr>
          <w:rFonts w:ascii="Times New Roman" w:hAnsi="Times New Roman"/>
          <w:b w:val="0"/>
          <w:i w:val="0"/>
          <w:color w:val="333333"/>
          <w:sz w:val="22"/>
        </w:rPr>
        <w:t>In this study, we bridge this critical safety gap. We present a highly rigorous, open-source pipeline evaluating a 5-role LLM multi-agent consensus system augmented with PubMed RAG evidence grounding. We propose two primary contributions:</w:t>
      </w:r>
    </w:p>
    <w:p>
      <w:pPr>
        <w:spacing w:line="360" w:lineRule="auto" w:after="200" w:before="0"/>
      </w:pPr>
      <w:r>
        <w:rPr>
          <w:rFonts w:ascii="Times New Roman" w:hAnsi="Times New Roman"/>
          <w:b w:val="0"/>
          <w:i w:val="0"/>
          <w:color w:val="333333"/>
          <w:sz w:val="22"/>
        </w:rPr>
        <w:t xml:space="preserve">1.  </w:t>
      </w:r>
      <w:r>
        <w:rPr>
          <w:rFonts w:ascii="Times New Roman" w:hAnsi="Times New Roman"/>
          <w:b/>
          <w:i w:val="0"/>
          <w:color w:val="333333"/>
          <w:sz w:val="22"/>
        </w:rPr>
        <w:t>The Explanation Alignment Score (EAS)</w:t>
      </w:r>
      <w:r>
        <w:rPr>
          <w:rFonts w:ascii="Times New Roman" w:hAnsi="Times New Roman"/>
          <w:b w:val="0"/>
          <w:i w:val="0"/>
          <w:color w:val="333333"/>
          <w:sz w:val="22"/>
        </w:rPr>
        <w:t>: A novel, deterministic metric that formally quantifies the overlap between features mentioned in LLM clinical reasoning and the top-ranked features identified by mathematical attribution methods (SHAP/LIME).</w:t>
      </w:r>
    </w:p>
    <w:p>
      <w:pPr>
        <w:spacing w:line="360" w:lineRule="auto" w:after="200" w:before="0"/>
      </w:pPr>
      <w:r>
        <w:rPr>
          <w:rFonts w:ascii="Times New Roman" w:hAnsi="Times New Roman"/>
          <w:b w:val="0"/>
          <w:i w:val="0"/>
          <w:color w:val="333333"/>
          <w:sz w:val="22"/>
        </w:rPr>
        <w:t xml:space="preserve">2.  </w:t>
      </w:r>
      <w:r>
        <w:rPr>
          <w:rFonts w:ascii="Times New Roman" w:hAnsi="Times New Roman"/>
          <w:b/>
          <w:i w:val="0"/>
          <w:color w:val="333333"/>
          <w:sz w:val="22"/>
        </w:rPr>
        <w:t>An Automated Hallucination Scorer</w:t>
      </w:r>
      <w:r>
        <w:rPr>
          <w:rFonts w:ascii="Times New Roman" w:hAnsi="Times New Roman"/>
          <w:b w:val="0"/>
          <w:i w:val="0"/>
          <w:color w:val="333333"/>
          <w:sz w:val="22"/>
        </w:rPr>
        <w:t>: A reproducible, regex-based algorithm with a $\pm15\%$ relative tolerance threshold that algorithmically measures the frequency of numeric clinical claims in LLM output against the patient's actual biomarker profile.</w:t>
      </w:r>
    </w:p>
    <w:p>
      <w:pPr>
        <w:spacing w:line="360" w:lineRule="auto" w:after="200" w:before="0"/>
      </w:pPr>
      <w:r>
        <w:rPr>
          <w:rFonts w:ascii="Times New Roman" w:hAnsi="Times New Roman"/>
          <w:b w:val="0"/>
          <w:i w:val="0"/>
          <w:color w:val="333333"/>
          <w:sz w:val="22"/>
        </w:rPr>
        <w:t xml:space="preserve">We evaluate this system on a population-scale sample of 16,762 patients from the CDC's NHANES database. Crucially, in accordance with the cross-sectional nature of NHANES, we frame this study strictly around </w:t>
      </w:r>
      <w:r>
        <w:rPr>
          <w:rFonts w:ascii="Times New Roman" w:hAnsi="Times New Roman"/>
          <w:b/>
          <w:i w:val="0"/>
          <w:color w:val="333333"/>
          <w:sz w:val="22"/>
        </w:rPr>
        <w:t>discriminative biomarker association analysis</w:t>
      </w:r>
      <w:r>
        <w:rPr>
          <w:rFonts w:ascii="Times New Roman" w:hAnsi="Times New Roman"/>
          <w:b w:val="0"/>
          <w:i w:val="0"/>
          <w:color w:val="333333"/>
          <w:sz w:val="22"/>
        </w:rPr>
        <w:t>—explaining why a discriminative ML model flagged a patient—rather than making inflated claims of prospective early cancer screening.</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2. Results</w:t>
      </w:r>
    </w:p>
    <w:p>
      <w:pPr>
        <w:keepNext/>
        <w:spacing w:before="240" w:after="120"/>
      </w:pPr>
      <w:r>
        <w:rPr>
          <w:rFonts w:ascii="Times New Roman" w:hAnsi="Times New Roman"/>
          <w:b/>
          <w:i w:val="0"/>
          <w:color w:val="333333"/>
          <w:sz w:val="24"/>
        </w:rPr>
        <w:t>2.1 Baseline ML Performance and Population Cohort</w:t>
      </w:r>
    </w:p>
    <w:p>
      <w:pPr>
        <w:spacing w:line="360" w:lineRule="auto" w:after="200" w:before="0"/>
      </w:pPr>
      <w:r>
        <w:rPr>
          <w:rFonts w:ascii="Times New Roman" w:hAnsi="Times New Roman"/>
          <w:b w:val="0"/>
          <w:i w:val="0"/>
          <w:color w:val="333333"/>
          <w:sz w:val="22"/>
        </w:rPr>
        <w:t>We extracted a cohort of 16,762 adult participants from the NHANES 2013-2018 cycles, consisting of 485 self-reported cancer cases (lung, liver, and colorectal) and 16,277 controls. We trained and compared five classical classifiers using Stratified 5-Fold Cross-Validation. The Gradient Boosting classifier achieved the highest discriminative performance:</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AUROC</w:t>
      </w:r>
      <w:r>
        <w:rPr>
          <w:rFonts w:ascii="Times New Roman" w:hAnsi="Times New Roman"/>
          <w:b w:val="0"/>
          <w:i w:val="0"/>
          <w:color w:val="333333"/>
          <w:sz w:val="22"/>
        </w:rPr>
        <w:t>: $0.7238$ (95% CI: $[0.7059, 0.7443]$, $p &lt; 0.001$ via a 500-fold permutation test).</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AUPRC</w:t>
      </w:r>
      <w:r>
        <w:rPr>
          <w:rFonts w:ascii="Times New Roman" w:hAnsi="Times New Roman"/>
          <w:b w:val="0"/>
          <w:i w:val="0"/>
          <w:color w:val="333333"/>
          <w:sz w:val="22"/>
        </w:rPr>
        <w:t>: $0.0678$ (95% CI: $[0.0521, 0.0862]$), reflecting the honest low baseline prevalence ($2.89\%$) without synthetic inflation.</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Brier Score</w:t>
      </w:r>
      <w:r>
        <w:rPr>
          <w:rFonts w:ascii="Times New Roman" w:hAnsi="Times New Roman"/>
          <w:b w:val="0"/>
          <w:i w:val="0"/>
          <w:color w:val="333333"/>
          <w:sz w:val="22"/>
        </w:rPr>
        <w:t>: $0.0281$, demonstrating excellent probability calibration.</w:t>
      </w:r>
    </w:p>
    <w:p>
      <w:pPr>
        <w:spacing w:line="360" w:lineRule="auto" w:after="200" w:before="0"/>
      </w:pPr>
      <w:r>
        <w:rPr>
          <w:rFonts w:ascii="Times New Roman" w:hAnsi="Times New Roman"/>
          <w:b w:val="0"/>
          <w:i w:val="0"/>
          <w:color w:val="333333"/>
          <w:sz w:val="22"/>
        </w:rPr>
        <w:t xml:space="preserve">The comparative performance across all five classifiers is detailed in </w:t>
      </w:r>
      <w:r>
        <w:rPr>
          <w:rFonts w:ascii="Times New Roman" w:hAnsi="Times New Roman"/>
          <w:b/>
          <w:i w:val="0"/>
          <w:color w:val="333333"/>
          <w:sz w:val="22"/>
        </w:rPr>
        <w:t>Table 1</w:t>
      </w:r>
      <w:r>
        <w:rPr>
          <w:rFonts w:ascii="Times New Roman" w:hAnsi="Times New Roman"/>
          <w:b w:val="0"/>
          <w:i w:val="0"/>
          <w:color w:val="333333"/>
          <w:sz w:val="22"/>
        </w:rPr>
        <w:t>:</w:t>
      </w:r>
    </w:p>
    <w:p>
      <w:pPr>
        <w:spacing w:line="360" w:lineRule="auto" w:after="200" w:before="0"/>
      </w:pPr>
      <w:r>
        <w:rPr>
          <w:rFonts w:ascii="Times New Roman" w:hAnsi="Times New Roman"/>
          <w:b w:val="0"/>
          <w:i w:val="0"/>
          <w:color w:val="333333"/>
          <w:sz w:val="22"/>
        </w:rPr>
        <w:t>#### Table 1: Machine Learning Classifier Performance (5-Fold CV)</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c>
          <w:tcPr>
            <w:tcW w:type="dxa" w:w="1560"/>
            <w:shd w:fill="F2F2F2"/>
          </w:tcPr>
          <w:p>
            <w:pPr>
              <w:spacing w:before="80" w:after="80"/>
              <w:jc w:val="left"/>
            </w:pPr>
            <w:r/>
            <w:r>
              <w:rPr>
                <w:rFonts w:ascii="Times New Roman" w:hAnsi="Times New Roman"/>
                <w:b/>
                <w:i w:val="0"/>
                <w:color w:val="333333"/>
                <w:sz w:val="20"/>
              </w:rPr>
              <w:t>Model</w:t>
            </w:r>
          </w:p>
        </w:tc>
        <w:tc>
          <w:tcPr>
            <w:tcW w:type="dxa" w:w="1560"/>
            <w:shd w:fill="F2F2F2"/>
          </w:tcPr>
          <w:p>
            <w:pPr>
              <w:spacing w:before="80" w:after="80"/>
              <w:jc w:val="left"/>
            </w:pPr>
            <w:r/>
            <w:r>
              <w:rPr>
                <w:rFonts w:ascii="Times New Roman" w:hAnsi="Times New Roman"/>
                <w:b/>
                <w:i w:val="0"/>
                <w:color w:val="333333"/>
                <w:sz w:val="20"/>
              </w:rPr>
              <w:t>AUROC</w:t>
            </w:r>
          </w:p>
        </w:tc>
        <w:tc>
          <w:tcPr>
            <w:tcW w:type="dxa" w:w="1560"/>
            <w:shd w:fill="F2F2F2"/>
          </w:tcPr>
          <w:p>
            <w:pPr>
              <w:spacing w:before="80" w:after="80"/>
              <w:jc w:val="left"/>
            </w:pPr>
            <w:r/>
            <w:r>
              <w:rPr>
                <w:rFonts w:ascii="Times New Roman" w:hAnsi="Times New Roman"/>
                <w:b/>
                <w:i w:val="0"/>
                <w:color w:val="333333"/>
                <w:sz w:val="20"/>
              </w:rPr>
              <w:t>95% CI (Bootstrap)</w:t>
            </w:r>
          </w:p>
        </w:tc>
        <w:tc>
          <w:tcPr>
            <w:tcW w:type="dxa" w:w="1560"/>
            <w:shd w:fill="F2F2F2"/>
          </w:tcPr>
          <w:p>
            <w:pPr>
              <w:spacing w:before="80" w:after="80"/>
              <w:jc w:val="left"/>
            </w:pPr>
            <w:r/>
            <w:r>
              <w:rPr>
                <w:rFonts w:ascii="Times New Roman" w:hAnsi="Times New Roman"/>
                <w:b/>
                <w:i w:val="0"/>
                <w:color w:val="333333"/>
                <w:sz w:val="20"/>
              </w:rPr>
              <w:t>AUPRC</w:t>
            </w:r>
          </w:p>
        </w:tc>
        <w:tc>
          <w:tcPr>
            <w:tcW w:type="dxa" w:w="1560"/>
            <w:shd w:fill="F2F2F2"/>
          </w:tcPr>
          <w:p>
            <w:pPr>
              <w:spacing w:before="80" w:after="80"/>
              <w:jc w:val="left"/>
            </w:pPr>
            <w:r/>
            <w:r>
              <w:rPr>
                <w:rFonts w:ascii="Times New Roman" w:hAnsi="Times New Roman"/>
                <w:b/>
                <w:i w:val="0"/>
                <w:color w:val="333333"/>
                <w:sz w:val="20"/>
              </w:rPr>
              <w:t>F1-Score</w:t>
            </w:r>
          </w:p>
        </w:tc>
        <w:tc>
          <w:tcPr>
            <w:tcW w:type="dxa" w:w="1560"/>
            <w:shd w:fill="F2F2F2"/>
          </w:tcPr>
          <w:p>
            <w:pPr>
              <w:spacing w:before="80" w:after="80"/>
              <w:jc w:val="left"/>
            </w:pPr>
            <w:r/>
            <w:r>
              <w:rPr>
                <w:rFonts w:ascii="Times New Roman" w:hAnsi="Times New Roman"/>
                <w:b/>
                <w:i w:val="0"/>
                <w:color w:val="333333"/>
                <w:sz w:val="20"/>
              </w:rPr>
              <w:t>Brier Score</w:t>
            </w:r>
          </w:p>
        </w:tc>
      </w:tr>
      <w:tr>
        <w:tc>
          <w:tcPr>
            <w:tcW w:type="dxa" w:w="1560"/>
          </w:tcPr>
          <w:p>
            <w:pPr>
              <w:spacing w:before="60" w:after="60"/>
              <w:jc w:val="left"/>
            </w:pPr>
            <w:r/>
            <w:r>
              <w:rPr>
                <w:rFonts w:ascii="Times New Roman" w:hAnsi="Times New Roman"/>
                <w:b/>
                <w:i w:val="0"/>
                <w:color w:val="333333"/>
                <w:sz w:val="19"/>
              </w:rPr>
              <w:t>Gradient Boosting</w:t>
            </w:r>
          </w:p>
        </w:tc>
        <w:tc>
          <w:tcPr>
            <w:tcW w:type="dxa" w:w="1560"/>
          </w:tcPr>
          <w:p>
            <w:pPr>
              <w:spacing w:before="60" w:after="60"/>
              <w:jc w:val="left"/>
            </w:pPr>
            <w:r/>
            <w:r>
              <w:rPr>
                <w:rFonts w:ascii="Times New Roman" w:hAnsi="Times New Roman"/>
                <w:b/>
                <w:i w:val="0"/>
                <w:color w:val="333333"/>
                <w:sz w:val="19"/>
              </w:rPr>
              <w:t>0.7238</w:t>
            </w:r>
          </w:p>
        </w:tc>
        <w:tc>
          <w:tcPr>
            <w:tcW w:type="dxa" w:w="1560"/>
          </w:tcPr>
          <w:p>
            <w:pPr>
              <w:spacing w:before="60" w:after="60"/>
              <w:jc w:val="left"/>
            </w:pPr>
            <w:r/>
            <w:r>
              <w:rPr>
                <w:rFonts w:ascii="Times New Roman" w:hAnsi="Times New Roman"/>
                <w:b/>
                <w:i w:val="0"/>
                <w:color w:val="333333"/>
                <w:sz w:val="19"/>
              </w:rPr>
              <w:t>[0.7059, 0.7443]</w:t>
            </w:r>
          </w:p>
        </w:tc>
        <w:tc>
          <w:tcPr>
            <w:tcW w:type="dxa" w:w="1560"/>
          </w:tcPr>
          <w:p>
            <w:pPr>
              <w:spacing w:before="60" w:after="60"/>
              <w:jc w:val="left"/>
            </w:pPr>
            <w:r/>
            <w:r>
              <w:rPr>
                <w:rFonts w:ascii="Times New Roman" w:hAnsi="Times New Roman"/>
                <w:b/>
                <w:i w:val="0"/>
                <w:color w:val="333333"/>
                <w:sz w:val="19"/>
              </w:rPr>
              <w:t>0.0678</w:t>
            </w:r>
          </w:p>
        </w:tc>
        <w:tc>
          <w:tcPr>
            <w:tcW w:type="dxa" w:w="1560"/>
          </w:tcPr>
          <w:p>
            <w:pPr>
              <w:spacing w:before="60" w:after="60"/>
              <w:jc w:val="left"/>
            </w:pPr>
            <w:r/>
            <w:r>
              <w:rPr>
                <w:rFonts w:ascii="Times New Roman" w:hAnsi="Times New Roman"/>
                <w:b w:val="0"/>
                <w:i w:val="0"/>
                <w:color w:val="333333"/>
                <w:sz w:val="19"/>
              </w:rPr>
              <w:t>0.012</w:t>
            </w:r>
          </w:p>
        </w:tc>
        <w:tc>
          <w:tcPr>
            <w:tcW w:type="dxa" w:w="1560"/>
          </w:tcPr>
          <w:p>
            <w:pPr>
              <w:spacing w:before="60" w:after="60"/>
              <w:jc w:val="left"/>
            </w:pPr>
            <w:r/>
            <w:r>
              <w:rPr>
                <w:rFonts w:ascii="Times New Roman" w:hAnsi="Times New Roman"/>
                <w:b/>
                <w:i w:val="0"/>
                <w:color w:val="333333"/>
                <w:sz w:val="19"/>
              </w:rPr>
              <w:t>0.0281</w:t>
            </w:r>
          </w:p>
        </w:tc>
      </w:tr>
      <w:tr>
        <w:tc>
          <w:tcPr>
            <w:tcW w:type="dxa" w:w="1560"/>
          </w:tcPr>
          <w:p>
            <w:pPr>
              <w:spacing w:before="60" w:after="60"/>
              <w:jc w:val="left"/>
            </w:pPr>
            <w:r/>
            <w:r>
              <w:rPr>
                <w:rFonts w:ascii="Times New Roman" w:hAnsi="Times New Roman"/>
                <w:b w:val="0"/>
                <w:i w:val="0"/>
                <w:color w:val="333333"/>
                <w:sz w:val="19"/>
              </w:rPr>
              <w:t>Logistic Regression</w:t>
            </w:r>
          </w:p>
        </w:tc>
        <w:tc>
          <w:tcPr>
            <w:tcW w:type="dxa" w:w="1560"/>
          </w:tcPr>
          <w:p>
            <w:pPr>
              <w:spacing w:before="60" w:after="60"/>
              <w:jc w:val="left"/>
            </w:pPr>
            <w:r/>
            <w:r>
              <w:rPr>
                <w:rFonts w:ascii="Times New Roman" w:hAnsi="Times New Roman"/>
                <w:b w:val="0"/>
                <w:i w:val="0"/>
                <w:color w:val="333333"/>
                <w:sz w:val="19"/>
              </w:rPr>
              <w:t>0.7185</w:t>
            </w:r>
          </w:p>
        </w:tc>
        <w:tc>
          <w:tcPr>
            <w:tcW w:type="dxa" w:w="1560"/>
          </w:tcPr>
          <w:p>
            <w:pPr>
              <w:spacing w:before="60" w:after="60"/>
              <w:jc w:val="left"/>
            </w:pPr>
            <w:r/>
            <w:r>
              <w:rPr>
                <w:rFonts w:ascii="Times New Roman" w:hAnsi="Times New Roman"/>
                <w:b w:val="0"/>
                <w:i w:val="0"/>
                <w:color w:val="333333"/>
                <w:sz w:val="19"/>
              </w:rPr>
              <w:t>[0.7011, 0.7390]</w:t>
            </w:r>
          </w:p>
        </w:tc>
        <w:tc>
          <w:tcPr>
            <w:tcW w:type="dxa" w:w="1560"/>
          </w:tcPr>
          <w:p>
            <w:pPr>
              <w:spacing w:before="60" w:after="60"/>
              <w:jc w:val="left"/>
            </w:pPr>
            <w:r/>
            <w:r>
              <w:rPr>
                <w:rFonts w:ascii="Times New Roman" w:hAnsi="Times New Roman"/>
                <w:b w:val="0"/>
                <w:i w:val="0"/>
                <w:color w:val="333333"/>
                <w:sz w:val="19"/>
              </w:rPr>
              <w:t>0.0682</w:t>
            </w:r>
          </w:p>
        </w:tc>
        <w:tc>
          <w:tcPr>
            <w:tcW w:type="dxa" w:w="1560"/>
          </w:tcPr>
          <w:p>
            <w:pPr>
              <w:spacing w:before="60" w:after="60"/>
              <w:jc w:val="left"/>
            </w:pPr>
            <w:r/>
            <w:r>
              <w:rPr>
                <w:rFonts w:ascii="Times New Roman" w:hAnsi="Times New Roman"/>
                <w:b w:val="0"/>
                <w:i w:val="0"/>
                <w:color w:val="333333"/>
                <w:sz w:val="19"/>
              </w:rPr>
              <w:t>0.105</w:t>
            </w:r>
          </w:p>
        </w:tc>
        <w:tc>
          <w:tcPr>
            <w:tcW w:type="dxa" w:w="1560"/>
          </w:tcPr>
          <w:p>
            <w:pPr>
              <w:spacing w:before="60" w:after="60"/>
              <w:jc w:val="left"/>
            </w:pPr>
            <w:r/>
            <w:r>
              <w:rPr>
                <w:rFonts w:ascii="Times New Roman" w:hAnsi="Times New Roman"/>
                <w:b w:val="0"/>
                <w:i w:val="0"/>
                <w:color w:val="333333"/>
                <w:sz w:val="19"/>
              </w:rPr>
              <w:t>0.2094</w:t>
            </w:r>
          </w:p>
        </w:tc>
      </w:tr>
      <w:tr>
        <w:tc>
          <w:tcPr>
            <w:tcW w:type="dxa" w:w="1560"/>
          </w:tcPr>
          <w:p>
            <w:pPr>
              <w:spacing w:before="60" w:after="60"/>
              <w:jc w:val="left"/>
            </w:pPr>
            <w:r/>
            <w:r>
              <w:rPr>
                <w:rFonts w:ascii="Times New Roman" w:hAnsi="Times New Roman"/>
                <w:b w:val="0"/>
                <w:i w:val="0"/>
                <w:color w:val="333333"/>
                <w:sz w:val="19"/>
              </w:rPr>
              <w:t>LightGBM</w:t>
            </w:r>
          </w:p>
        </w:tc>
        <w:tc>
          <w:tcPr>
            <w:tcW w:type="dxa" w:w="1560"/>
          </w:tcPr>
          <w:p>
            <w:pPr>
              <w:spacing w:before="60" w:after="60"/>
              <w:jc w:val="left"/>
            </w:pPr>
            <w:r/>
            <w:r>
              <w:rPr>
                <w:rFonts w:ascii="Times New Roman" w:hAnsi="Times New Roman"/>
                <w:b w:val="0"/>
                <w:i w:val="0"/>
                <w:color w:val="333333"/>
                <w:sz w:val="19"/>
              </w:rPr>
              <w:t>0.6890</w:t>
            </w:r>
          </w:p>
        </w:tc>
        <w:tc>
          <w:tcPr>
            <w:tcW w:type="dxa" w:w="1560"/>
          </w:tcPr>
          <w:p>
            <w:pPr>
              <w:spacing w:before="60" w:after="60"/>
              <w:jc w:val="left"/>
            </w:pPr>
            <w:r/>
            <w:r>
              <w:rPr>
                <w:rFonts w:ascii="Times New Roman" w:hAnsi="Times New Roman"/>
                <w:b w:val="0"/>
                <w:i w:val="0"/>
                <w:color w:val="333333"/>
                <w:sz w:val="19"/>
              </w:rPr>
              <w:t>[0.6702, 0.7081]</w:t>
            </w:r>
          </w:p>
        </w:tc>
        <w:tc>
          <w:tcPr>
            <w:tcW w:type="dxa" w:w="1560"/>
          </w:tcPr>
          <w:p>
            <w:pPr>
              <w:spacing w:before="60" w:after="60"/>
              <w:jc w:val="left"/>
            </w:pPr>
            <w:r/>
            <w:r>
              <w:rPr>
                <w:rFonts w:ascii="Times New Roman" w:hAnsi="Times New Roman"/>
                <w:b w:val="0"/>
                <w:i w:val="0"/>
                <w:color w:val="333333"/>
                <w:sz w:val="19"/>
              </w:rPr>
              <w:t>0.0525</w:t>
            </w:r>
          </w:p>
        </w:tc>
        <w:tc>
          <w:tcPr>
            <w:tcW w:type="dxa" w:w="1560"/>
          </w:tcPr>
          <w:p>
            <w:pPr>
              <w:spacing w:before="60" w:after="60"/>
              <w:jc w:val="left"/>
            </w:pPr>
            <w:r/>
            <w:r>
              <w:rPr>
                <w:rFonts w:ascii="Times New Roman" w:hAnsi="Times New Roman"/>
                <w:b w:val="0"/>
                <w:i w:val="0"/>
                <w:color w:val="333333"/>
                <w:sz w:val="19"/>
              </w:rPr>
              <w:t>0.077</w:t>
            </w:r>
          </w:p>
        </w:tc>
        <w:tc>
          <w:tcPr>
            <w:tcW w:type="dxa" w:w="1560"/>
          </w:tcPr>
          <w:p>
            <w:pPr>
              <w:spacing w:before="60" w:after="60"/>
              <w:jc w:val="left"/>
            </w:pPr>
            <w:r/>
            <w:r>
              <w:rPr>
                <w:rFonts w:ascii="Times New Roman" w:hAnsi="Times New Roman"/>
                <w:b w:val="0"/>
                <w:i w:val="0"/>
                <w:color w:val="333333"/>
                <w:sz w:val="19"/>
              </w:rPr>
              <w:t>0.0719</w:t>
            </w:r>
          </w:p>
        </w:tc>
      </w:tr>
      <w:tr>
        <w:tc>
          <w:tcPr>
            <w:tcW w:type="dxa" w:w="1560"/>
          </w:tcPr>
          <w:p>
            <w:pPr>
              <w:spacing w:before="60" w:after="60"/>
              <w:jc w:val="left"/>
            </w:pPr>
            <w:r/>
            <w:r>
              <w:rPr>
                <w:rFonts w:ascii="Times New Roman" w:hAnsi="Times New Roman"/>
                <w:b w:val="0"/>
                <w:i w:val="0"/>
                <w:color w:val="333333"/>
                <w:sz w:val="19"/>
              </w:rPr>
              <w:t>Random Forest</w:t>
            </w:r>
          </w:p>
        </w:tc>
        <w:tc>
          <w:tcPr>
            <w:tcW w:type="dxa" w:w="1560"/>
          </w:tcPr>
          <w:p>
            <w:pPr>
              <w:spacing w:before="60" w:after="60"/>
              <w:jc w:val="left"/>
            </w:pPr>
            <w:r/>
            <w:r>
              <w:rPr>
                <w:rFonts w:ascii="Times New Roman" w:hAnsi="Times New Roman"/>
                <w:b w:val="0"/>
                <w:i w:val="0"/>
                <w:color w:val="333333"/>
                <w:sz w:val="19"/>
              </w:rPr>
              <w:t>0.6803</w:t>
            </w:r>
          </w:p>
        </w:tc>
        <w:tc>
          <w:tcPr>
            <w:tcW w:type="dxa" w:w="1560"/>
          </w:tcPr>
          <w:p>
            <w:pPr>
              <w:spacing w:before="60" w:after="60"/>
              <w:jc w:val="left"/>
            </w:pPr>
            <w:r/>
            <w:r>
              <w:rPr>
                <w:rFonts w:ascii="Times New Roman" w:hAnsi="Times New Roman"/>
                <w:b w:val="0"/>
                <w:i w:val="0"/>
                <w:color w:val="333333"/>
                <w:sz w:val="19"/>
              </w:rPr>
              <w:t>[0.6610, 0.6995]</w:t>
            </w:r>
          </w:p>
        </w:tc>
        <w:tc>
          <w:tcPr>
            <w:tcW w:type="dxa" w:w="1560"/>
          </w:tcPr>
          <w:p>
            <w:pPr>
              <w:spacing w:before="60" w:after="60"/>
              <w:jc w:val="left"/>
            </w:pPr>
            <w:r/>
            <w:r>
              <w:rPr>
                <w:rFonts w:ascii="Times New Roman" w:hAnsi="Times New Roman"/>
                <w:b w:val="0"/>
                <w:i w:val="0"/>
                <w:color w:val="333333"/>
                <w:sz w:val="19"/>
              </w:rPr>
              <w:t>0.0469</w:t>
            </w:r>
          </w:p>
        </w:tc>
        <w:tc>
          <w:tcPr>
            <w:tcW w:type="dxa" w:w="1560"/>
          </w:tcPr>
          <w:p>
            <w:pPr>
              <w:spacing w:before="60" w:after="60"/>
              <w:jc w:val="left"/>
            </w:pPr>
            <w:r/>
            <w:r>
              <w:rPr>
                <w:rFonts w:ascii="Times New Roman" w:hAnsi="Times New Roman"/>
                <w:b w:val="0"/>
                <w:i w:val="0"/>
                <w:color w:val="333333"/>
                <w:sz w:val="19"/>
              </w:rPr>
              <w:t>0.062</w:t>
            </w:r>
          </w:p>
        </w:tc>
        <w:tc>
          <w:tcPr>
            <w:tcW w:type="dxa" w:w="1560"/>
          </w:tcPr>
          <w:p>
            <w:pPr>
              <w:spacing w:before="60" w:after="60"/>
              <w:jc w:val="left"/>
            </w:pPr>
            <w:r/>
            <w:r>
              <w:rPr>
                <w:rFonts w:ascii="Times New Roman" w:hAnsi="Times New Roman"/>
                <w:b w:val="0"/>
                <w:i w:val="0"/>
                <w:color w:val="333333"/>
                <w:sz w:val="19"/>
              </w:rPr>
              <w:t>0.0533</w:t>
            </w:r>
          </w:p>
        </w:tc>
      </w:tr>
      <w:tr>
        <w:tc>
          <w:tcPr>
            <w:tcW w:type="dxa" w:w="1560"/>
          </w:tcPr>
          <w:p>
            <w:pPr>
              <w:spacing w:before="60" w:after="60"/>
              <w:jc w:val="left"/>
            </w:pPr>
            <w:r/>
            <w:r>
              <w:rPr>
                <w:rFonts w:ascii="Times New Roman" w:hAnsi="Times New Roman"/>
                <w:b w:val="0"/>
                <w:i w:val="0"/>
                <w:color w:val="333333"/>
                <w:sz w:val="19"/>
              </w:rPr>
              <w:t>XGBoost</w:t>
            </w:r>
          </w:p>
        </w:tc>
        <w:tc>
          <w:tcPr>
            <w:tcW w:type="dxa" w:w="1560"/>
          </w:tcPr>
          <w:p>
            <w:pPr>
              <w:spacing w:before="60" w:after="60"/>
              <w:jc w:val="left"/>
            </w:pPr>
            <w:r/>
            <w:r>
              <w:rPr>
                <w:rFonts w:ascii="Times New Roman" w:hAnsi="Times New Roman"/>
                <w:b w:val="0"/>
                <w:i w:val="0"/>
                <w:color w:val="333333"/>
                <w:sz w:val="19"/>
              </w:rPr>
              <w:t>0.6723</w:t>
            </w:r>
          </w:p>
        </w:tc>
        <w:tc>
          <w:tcPr>
            <w:tcW w:type="dxa" w:w="1560"/>
          </w:tcPr>
          <w:p>
            <w:pPr>
              <w:spacing w:before="60" w:after="60"/>
              <w:jc w:val="left"/>
            </w:pPr>
            <w:r/>
            <w:r>
              <w:rPr>
                <w:rFonts w:ascii="Times New Roman" w:hAnsi="Times New Roman"/>
                <w:b w:val="0"/>
                <w:i w:val="0"/>
                <w:color w:val="333333"/>
                <w:sz w:val="19"/>
              </w:rPr>
              <w:t>[0.6534, 0.6912]</w:t>
            </w:r>
          </w:p>
        </w:tc>
        <w:tc>
          <w:tcPr>
            <w:tcW w:type="dxa" w:w="1560"/>
          </w:tcPr>
          <w:p>
            <w:pPr>
              <w:spacing w:before="60" w:after="60"/>
              <w:jc w:val="left"/>
            </w:pPr>
            <w:r/>
            <w:r>
              <w:rPr>
                <w:rFonts w:ascii="Times New Roman" w:hAnsi="Times New Roman"/>
                <w:b w:val="0"/>
                <w:i w:val="0"/>
                <w:color w:val="333333"/>
                <w:sz w:val="19"/>
              </w:rPr>
              <w:t>0.0500</w:t>
            </w:r>
          </w:p>
        </w:tc>
        <w:tc>
          <w:tcPr>
            <w:tcW w:type="dxa" w:w="1560"/>
          </w:tcPr>
          <w:p>
            <w:pPr>
              <w:spacing w:before="60" w:after="60"/>
              <w:jc w:val="left"/>
            </w:pPr>
            <w:r/>
            <w:r>
              <w:rPr>
                <w:rFonts w:ascii="Times New Roman" w:hAnsi="Times New Roman"/>
                <w:b w:val="0"/>
                <w:i w:val="0"/>
                <w:color w:val="333333"/>
                <w:sz w:val="19"/>
              </w:rPr>
              <w:t>0.088</w:t>
            </w:r>
          </w:p>
        </w:tc>
        <w:tc>
          <w:tcPr>
            <w:tcW w:type="dxa" w:w="1560"/>
          </w:tcPr>
          <w:p>
            <w:pPr>
              <w:spacing w:before="60" w:after="60"/>
              <w:jc w:val="left"/>
            </w:pPr>
            <w:r/>
            <w:r>
              <w:rPr>
                <w:rFonts w:ascii="Times New Roman" w:hAnsi="Times New Roman"/>
                <w:b w:val="0"/>
                <w:i w:val="0"/>
                <w:color w:val="333333"/>
                <w:sz w:val="19"/>
              </w:rPr>
              <w:t>0.0814</w:t>
            </w:r>
          </w:p>
        </w:tc>
      </w:tr>
    </w:tbl>
    <w:p>
      <w:pPr>
        <w:spacing w:before="120"/>
      </w:pPr>
    </w:p>
    <w:p>
      <w:pPr>
        <w:spacing w:line="360" w:lineRule="auto" w:after="200" w:before="0"/>
      </w:pPr>
      <w:r>
        <w:rPr>
          <w:rFonts w:ascii="Times New Roman" w:hAnsi="Times New Roman"/>
          <w:b w:val="0"/>
          <w:i/>
          <w:color w:val="333333"/>
          <w:sz w:val="22"/>
        </w:rPr>
        <w:t>Note: All confidence intervals were computed using 1000 bootstrap iterations on held-out cross-validation predictions to prevent training leakage.</w:t>
      </w:r>
    </w:p>
    <w:p>
      <w:pPr>
        <w:keepNext/>
        <w:spacing w:before="240" w:after="120"/>
      </w:pPr>
      <w:r>
        <w:rPr>
          <w:rFonts w:ascii="Times New Roman" w:hAnsi="Times New Roman"/>
          <w:b/>
          <w:i w:val="0"/>
          <w:color w:val="333333"/>
          <w:sz w:val="24"/>
        </w:rPr>
        <w:t>2.2 Clinical Operating Points and Number Needed to Screen</w:t>
      </w:r>
    </w:p>
    <w:p>
      <w:pPr>
        <w:spacing w:line="360" w:lineRule="auto" w:after="200" w:before="0"/>
      </w:pPr>
      <w:r>
        <w:rPr>
          <w:rFonts w:ascii="Times New Roman" w:hAnsi="Times New Roman"/>
          <w:b w:val="0"/>
          <w:i w:val="0"/>
          <w:color w:val="333333"/>
          <w:sz w:val="22"/>
        </w:rPr>
        <w:t>To assess the translation of the model into clinical workflows, we evaluated performance metrics across four specificities ($80\%$, $85\%$, $90\%$, and $95\%$). PPV was computed strictly as $\text{TP}/(\text{TP}+\text{FP})$ to prevent mathematical inflation:</w:t>
      </w:r>
    </w:p>
    <w:p>
      <w:pPr>
        <w:spacing w:line="360" w:lineRule="auto" w:after="200" w:before="0"/>
      </w:pPr>
      <w:r>
        <w:rPr>
          <w:rFonts w:ascii="Times New Roman" w:hAnsi="Times New Roman"/>
          <w:b w:val="0"/>
          <w:i w:val="0"/>
          <w:color w:val="333333"/>
          <w:sz w:val="22"/>
        </w:rPr>
        <w:t>#### Table 2: Clinical Operating Points &amp; Number Needed to Screen (NNS)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shd w:fill="F2F2F2"/>
          </w:tcPr>
          <w:p>
            <w:pPr>
              <w:spacing w:before="80" w:after="80"/>
              <w:jc w:val="left"/>
            </w:pPr>
            <w:r/>
            <w:r>
              <w:rPr>
                <w:rFonts w:ascii="Times New Roman" w:hAnsi="Times New Roman"/>
                <w:b/>
                <w:i w:val="0"/>
                <w:color w:val="333333"/>
                <w:sz w:val="20"/>
              </w:rPr>
              <w:t>Specificity</w:t>
            </w:r>
          </w:p>
        </w:tc>
        <w:tc>
          <w:tcPr>
            <w:tcW w:type="dxa" w:w="1337"/>
            <w:shd w:fill="F2F2F2"/>
          </w:tcPr>
          <w:p>
            <w:pPr>
              <w:spacing w:before="80" w:after="80"/>
              <w:jc w:val="left"/>
            </w:pPr>
            <w:r/>
            <w:r>
              <w:rPr>
                <w:rFonts w:ascii="Times New Roman" w:hAnsi="Times New Roman"/>
                <w:b/>
                <w:i w:val="0"/>
                <w:color w:val="333333"/>
                <w:sz w:val="20"/>
              </w:rPr>
              <w:t>Sensitivity</w:t>
            </w:r>
          </w:p>
        </w:tc>
        <w:tc>
          <w:tcPr>
            <w:tcW w:type="dxa" w:w="1337"/>
            <w:shd w:fill="F2F2F2"/>
          </w:tcPr>
          <w:p>
            <w:pPr>
              <w:spacing w:before="80" w:after="80"/>
              <w:jc w:val="left"/>
            </w:pPr>
            <w:r/>
            <w:r>
              <w:rPr>
                <w:rFonts w:ascii="Times New Roman" w:hAnsi="Times New Roman"/>
                <w:b/>
                <w:i w:val="0"/>
                <w:color w:val="333333"/>
                <w:sz w:val="20"/>
              </w:rPr>
              <w:t>PPV</w:t>
            </w:r>
          </w:p>
        </w:tc>
        <w:tc>
          <w:tcPr>
            <w:tcW w:type="dxa" w:w="1337"/>
            <w:shd w:fill="F2F2F2"/>
          </w:tcPr>
          <w:p>
            <w:pPr>
              <w:spacing w:before="80" w:after="80"/>
              <w:jc w:val="left"/>
            </w:pPr>
            <w:r/>
            <w:r>
              <w:rPr>
                <w:rFonts w:ascii="Times New Roman" w:hAnsi="Times New Roman"/>
                <w:b/>
                <w:i w:val="0"/>
                <w:color w:val="333333"/>
                <w:sz w:val="20"/>
              </w:rPr>
              <w:t>NPV</w:t>
            </w:r>
          </w:p>
        </w:tc>
        <w:tc>
          <w:tcPr>
            <w:tcW w:type="dxa" w:w="1337"/>
            <w:shd w:fill="F2F2F2"/>
          </w:tcPr>
          <w:p>
            <w:pPr>
              <w:spacing w:before="80" w:after="80"/>
              <w:jc w:val="left"/>
            </w:pPr>
            <w:r/>
            <w:r>
              <w:rPr>
                <w:rFonts w:ascii="Times New Roman" w:hAnsi="Times New Roman"/>
                <w:b/>
                <w:i w:val="0"/>
                <w:color w:val="333333"/>
                <w:sz w:val="20"/>
              </w:rPr>
              <w:t>True Positives</w:t>
            </w:r>
          </w:p>
        </w:tc>
        <w:tc>
          <w:tcPr>
            <w:tcW w:type="dxa" w:w="1337"/>
            <w:shd w:fill="F2F2F2"/>
          </w:tcPr>
          <w:p>
            <w:pPr>
              <w:spacing w:before="80" w:after="80"/>
              <w:jc w:val="left"/>
            </w:pPr>
            <w:r/>
            <w:r>
              <w:rPr>
                <w:rFonts w:ascii="Times New Roman" w:hAnsi="Times New Roman"/>
                <w:b/>
                <w:i w:val="0"/>
                <w:color w:val="333333"/>
                <w:sz w:val="20"/>
              </w:rPr>
              <w:t>False Positives</w:t>
            </w:r>
          </w:p>
        </w:tc>
        <w:tc>
          <w:tcPr>
            <w:tcW w:type="dxa" w:w="1337"/>
            <w:shd w:fill="F2F2F2"/>
          </w:tcPr>
          <w:p>
            <w:pPr>
              <w:spacing w:before="80" w:after="80"/>
              <w:jc w:val="left"/>
            </w:pPr>
            <w:r/>
            <w:r>
              <w:rPr>
                <w:rFonts w:ascii="Times New Roman" w:hAnsi="Times New Roman"/>
                <w:b/>
                <w:i w:val="0"/>
                <w:color w:val="333333"/>
                <w:sz w:val="20"/>
              </w:rPr>
              <w:t>NNS</w:t>
            </w:r>
          </w:p>
        </w:tc>
      </w:tr>
      <w:tr>
        <w:tc>
          <w:tcPr>
            <w:tcW w:type="dxa" w:w="1337"/>
          </w:tcPr>
          <w:p>
            <w:pPr>
              <w:spacing w:before="60" w:after="60"/>
              <w:jc w:val="left"/>
            </w:pPr>
            <w:r/>
            <w:r>
              <w:rPr>
                <w:rFonts w:ascii="Times New Roman" w:hAnsi="Times New Roman"/>
                <w:b w:val="0"/>
                <w:i w:val="0"/>
                <w:color w:val="333333"/>
                <w:sz w:val="19"/>
              </w:rPr>
              <w:t>80%</w:t>
            </w:r>
          </w:p>
        </w:tc>
        <w:tc>
          <w:tcPr>
            <w:tcW w:type="dxa" w:w="1337"/>
          </w:tcPr>
          <w:p>
            <w:pPr>
              <w:spacing w:before="60" w:after="60"/>
              <w:jc w:val="left"/>
            </w:pPr>
            <w:r/>
            <w:r>
              <w:rPr>
                <w:rFonts w:ascii="Times New Roman" w:hAnsi="Times New Roman"/>
                <w:b w:val="0"/>
                <w:i w:val="0"/>
                <w:color w:val="333333"/>
                <w:sz w:val="19"/>
              </w:rPr>
              <w:t>0.456</w:t>
            </w:r>
          </w:p>
        </w:tc>
        <w:tc>
          <w:tcPr>
            <w:tcW w:type="dxa" w:w="1337"/>
          </w:tcPr>
          <w:p>
            <w:pPr>
              <w:spacing w:before="60" w:after="60"/>
              <w:jc w:val="left"/>
            </w:pPr>
            <w:r/>
            <w:r>
              <w:rPr>
                <w:rFonts w:ascii="Times New Roman" w:hAnsi="Times New Roman"/>
                <w:b w:val="0"/>
                <w:i w:val="0"/>
                <w:color w:val="333333"/>
                <w:sz w:val="19"/>
              </w:rPr>
              <w:t>0.063</w:t>
            </w:r>
          </w:p>
        </w:tc>
        <w:tc>
          <w:tcPr>
            <w:tcW w:type="dxa" w:w="1337"/>
          </w:tcPr>
          <w:p>
            <w:pPr>
              <w:spacing w:before="60" w:after="60"/>
              <w:jc w:val="left"/>
            </w:pPr>
            <w:r/>
            <w:r>
              <w:rPr>
                <w:rFonts w:ascii="Times New Roman" w:hAnsi="Times New Roman"/>
                <w:b w:val="0"/>
                <w:i w:val="0"/>
                <w:color w:val="333333"/>
                <w:sz w:val="19"/>
              </w:rPr>
              <w:t>0.980</w:t>
            </w:r>
          </w:p>
        </w:tc>
        <w:tc>
          <w:tcPr>
            <w:tcW w:type="dxa" w:w="1337"/>
          </w:tcPr>
          <w:p>
            <w:pPr>
              <w:spacing w:before="60" w:after="60"/>
              <w:jc w:val="left"/>
            </w:pPr>
            <w:r/>
            <w:r>
              <w:rPr>
                <w:rFonts w:ascii="Times New Roman" w:hAnsi="Times New Roman"/>
                <w:b w:val="0"/>
                <w:i w:val="0"/>
                <w:color w:val="333333"/>
                <w:sz w:val="19"/>
              </w:rPr>
              <w:t>221</w:t>
            </w:r>
          </w:p>
        </w:tc>
        <w:tc>
          <w:tcPr>
            <w:tcW w:type="dxa" w:w="1337"/>
          </w:tcPr>
          <w:p>
            <w:pPr>
              <w:spacing w:before="60" w:after="60"/>
              <w:jc w:val="left"/>
            </w:pPr>
            <w:r/>
            <w:r>
              <w:rPr>
                <w:rFonts w:ascii="Times New Roman" w:hAnsi="Times New Roman"/>
                <w:b w:val="0"/>
                <w:i w:val="0"/>
                <w:color w:val="333333"/>
                <w:sz w:val="19"/>
              </w:rPr>
              <w:t>3,299</w:t>
            </w:r>
          </w:p>
        </w:tc>
        <w:tc>
          <w:tcPr>
            <w:tcW w:type="dxa" w:w="1337"/>
          </w:tcPr>
          <w:p>
            <w:pPr>
              <w:spacing w:before="60" w:after="60"/>
              <w:jc w:val="left"/>
            </w:pPr>
            <w:r/>
            <w:r>
              <w:rPr>
                <w:rFonts w:ascii="Times New Roman" w:hAnsi="Times New Roman"/>
                <w:b w:val="0"/>
                <w:i w:val="0"/>
                <w:color w:val="333333"/>
                <w:sz w:val="19"/>
              </w:rPr>
              <w:t>~16</w:t>
            </w:r>
          </w:p>
        </w:tc>
      </w:tr>
      <w:tr>
        <w:tc>
          <w:tcPr>
            <w:tcW w:type="dxa" w:w="1337"/>
          </w:tcPr>
          <w:p>
            <w:pPr>
              <w:spacing w:before="60" w:after="60"/>
              <w:jc w:val="left"/>
            </w:pPr>
            <w:r/>
            <w:r>
              <w:rPr>
                <w:rFonts w:ascii="Times New Roman" w:hAnsi="Times New Roman"/>
                <w:b/>
                <w:i w:val="0"/>
                <w:color w:val="333333"/>
                <w:sz w:val="19"/>
              </w:rPr>
              <w:t>85% (Target)</w:t>
            </w:r>
          </w:p>
        </w:tc>
        <w:tc>
          <w:tcPr>
            <w:tcW w:type="dxa" w:w="1337"/>
          </w:tcPr>
          <w:p>
            <w:pPr>
              <w:spacing w:before="60" w:after="60"/>
              <w:jc w:val="left"/>
            </w:pPr>
            <w:r/>
            <w:r>
              <w:rPr>
                <w:rFonts w:ascii="Times New Roman" w:hAnsi="Times New Roman"/>
                <w:b/>
                <w:i w:val="0"/>
                <w:color w:val="333333"/>
                <w:sz w:val="19"/>
              </w:rPr>
              <w:t>0.371</w:t>
            </w:r>
          </w:p>
        </w:tc>
        <w:tc>
          <w:tcPr>
            <w:tcW w:type="dxa" w:w="1337"/>
          </w:tcPr>
          <w:p>
            <w:pPr>
              <w:spacing w:before="60" w:after="60"/>
              <w:jc w:val="left"/>
            </w:pPr>
            <w:r/>
            <w:r>
              <w:rPr>
                <w:rFonts w:ascii="Times New Roman" w:hAnsi="Times New Roman"/>
                <w:b/>
                <w:i w:val="0"/>
                <w:color w:val="333333"/>
                <w:sz w:val="19"/>
              </w:rPr>
              <w:t>0.066</w:t>
            </w:r>
          </w:p>
        </w:tc>
        <w:tc>
          <w:tcPr>
            <w:tcW w:type="dxa" w:w="1337"/>
          </w:tcPr>
          <w:p>
            <w:pPr>
              <w:spacing w:before="60" w:after="60"/>
              <w:jc w:val="left"/>
            </w:pPr>
            <w:r/>
            <w:r>
              <w:rPr>
                <w:rFonts w:ascii="Times New Roman" w:hAnsi="Times New Roman"/>
                <w:b/>
                <w:i w:val="0"/>
                <w:color w:val="333333"/>
                <w:sz w:val="19"/>
              </w:rPr>
              <w:t>0.978</w:t>
            </w:r>
          </w:p>
        </w:tc>
        <w:tc>
          <w:tcPr>
            <w:tcW w:type="dxa" w:w="1337"/>
          </w:tcPr>
          <w:p>
            <w:pPr>
              <w:spacing w:before="60" w:after="60"/>
              <w:jc w:val="left"/>
            </w:pPr>
            <w:r/>
            <w:r>
              <w:rPr>
                <w:rFonts w:ascii="Times New Roman" w:hAnsi="Times New Roman"/>
                <w:b/>
                <w:i w:val="0"/>
                <w:color w:val="333333"/>
                <w:sz w:val="19"/>
              </w:rPr>
              <w:t>180</w:t>
            </w:r>
          </w:p>
        </w:tc>
        <w:tc>
          <w:tcPr>
            <w:tcW w:type="dxa" w:w="1337"/>
          </w:tcPr>
          <w:p>
            <w:pPr>
              <w:spacing w:before="60" w:after="60"/>
              <w:jc w:val="left"/>
            </w:pPr>
            <w:r/>
            <w:r>
              <w:rPr>
                <w:rFonts w:ascii="Times New Roman" w:hAnsi="Times New Roman"/>
                <w:b/>
                <w:i w:val="0"/>
                <w:color w:val="333333"/>
                <w:sz w:val="19"/>
              </w:rPr>
              <w:t>2,532</w:t>
            </w:r>
          </w:p>
        </w:tc>
        <w:tc>
          <w:tcPr>
            <w:tcW w:type="dxa" w:w="1337"/>
          </w:tcPr>
          <w:p>
            <w:pPr>
              <w:spacing w:before="60" w:after="60"/>
              <w:jc w:val="left"/>
            </w:pPr>
            <w:r/>
            <w:r>
              <w:rPr>
                <w:rFonts w:ascii="Times New Roman" w:hAnsi="Times New Roman"/>
                <w:b/>
                <w:i w:val="0"/>
                <w:color w:val="333333"/>
                <w:sz w:val="19"/>
              </w:rPr>
              <w:t>~15</w:t>
            </w:r>
          </w:p>
        </w:tc>
      </w:tr>
      <w:tr>
        <w:tc>
          <w:tcPr>
            <w:tcW w:type="dxa" w:w="1337"/>
          </w:tcPr>
          <w:p>
            <w:pPr>
              <w:spacing w:before="60" w:after="60"/>
              <w:jc w:val="left"/>
            </w:pPr>
            <w:r/>
            <w:r>
              <w:rPr>
                <w:rFonts w:ascii="Times New Roman" w:hAnsi="Times New Roman"/>
                <w:b w:val="0"/>
                <w:i w:val="0"/>
                <w:color w:val="333333"/>
                <w:sz w:val="19"/>
              </w:rPr>
              <w:t>90%</w:t>
            </w:r>
          </w:p>
        </w:tc>
        <w:tc>
          <w:tcPr>
            <w:tcW w:type="dxa" w:w="1337"/>
          </w:tcPr>
          <w:p>
            <w:pPr>
              <w:spacing w:before="60" w:after="60"/>
              <w:jc w:val="left"/>
            </w:pPr>
            <w:r/>
            <w:r>
              <w:rPr>
                <w:rFonts w:ascii="Times New Roman" w:hAnsi="Times New Roman"/>
                <w:b w:val="0"/>
                <w:i w:val="0"/>
                <w:color w:val="333333"/>
                <w:sz w:val="19"/>
              </w:rPr>
              <w:t>0.289</w:t>
            </w:r>
          </w:p>
        </w:tc>
        <w:tc>
          <w:tcPr>
            <w:tcW w:type="dxa" w:w="1337"/>
          </w:tcPr>
          <w:p>
            <w:pPr>
              <w:spacing w:before="60" w:after="60"/>
              <w:jc w:val="left"/>
            </w:pPr>
            <w:r/>
            <w:r>
              <w:rPr>
                <w:rFonts w:ascii="Times New Roman" w:hAnsi="Times New Roman"/>
                <w:b w:val="0"/>
                <w:i w:val="0"/>
                <w:color w:val="333333"/>
                <w:sz w:val="19"/>
              </w:rPr>
              <w:t>0.080</w:t>
            </w:r>
          </w:p>
        </w:tc>
        <w:tc>
          <w:tcPr>
            <w:tcW w:type="dxa" w:w="1337"/>
          </w:tcPr>
          <w:p>
            <w:pPr>
              <w:spacing w:before="60" w:after="60"/>
              <w:jc w:val="left"/>
            </w:pPr>
            <w:r/>
            <w:r>
              <w:rPr>
                <w:rFonts w:ascii="Times New Roman" w:hAnsi="Times New Roman"/>
                <w:b w:val="0"/>
                <w:i w:val="0"/>
                <w:color w:val="333333"/>
                <w:sz w:val="19"/>
              </w:rPr>
              <w:t>0.977</w:t>
            </w:r>
          </w:p>
        </w:tc>
        <w:tc>
          <w:tcPr>
            <w:tcW w:type="dxa" w:w="1337"/>
          </w:tcPr>
          <w:p>
            <w:pPr>
              <w:spacing w:before="60" w:after="60"/>
              <w:jc w:val="left"/>
            </w:pPr>
            <w:r/>
            <w:r>
              <w:rPr>
                <w:rFonts w:ascii="Times New Roman" w:hAnsi="Times New Roman"/>
                <w:b w:val="0"/>
                <w:i w:val="0"/>
                <w:color w:val="333333"/>
                <w:sz w:val="19"/>
              </w:rPr>
              <w:t>140</w:t>
            </w:r>
          </w:p>
        </w:tc>
        <w:tc>
          <w:tcPr>
            <w:tcW w:type="dxa" w:w="1337"/>
          </w:tcPr>
          <w:p>
            <w:pPr>
              <w:spacing w:before="60" w:after="60"/>
              <w:jc w:val="left"/>
            </w:pPr>
            <w:r/>
            <w:r>
              <w:rPr>
                <w:rFonts w:ascii="Times New Roman" w:hAnsi="Times New Roman"/>
                <w:b w:val="0"/>
                <w:i w:val="0"/>
                <w:color w:val="333333"/>
                <w:sz w:val="19"/>
              </w:rPr>
              <w:t>1,627</w:t>
            </w:r>
          </w:p>
        </w:tc>
        <w:tc>
          <w:tcPr>
            <w:tcW w:type="dxa" w:w="1337"/>
          </w:tcPr>
          <w:p>
            <w:pPr>
              <w:spacing w:before="60" w:after="60"/>
              <w:jc w:val="left"/>
            </w:pPr>
            <w:r/>
            <w:r>
              <w:rPr>
                <w:rFonts w:ascii="Times New Roman" w:hAnsi="Times New Roman"/>
                <w:b w:val="0"/>
                <w:i w:val="0"/>
                <w:color w:val="333333"/>
                <w:sz w:val="19"/>
              </w:rPr>
              <w:t>~13</w:t>
            </w:r>
          </w:p>
        </w:tc>
      </w:tr>
      <w:tr>
        <w:tc>
          <w:tcPr>
            <w:tcW w:type="dxa" w:w="1337"/>
          </w:tcPr>
          <w:p>
            <w:pPr>
              <w:spacing w:before="60" w:after="60"/>
              <w:jc w:val="left"/>
            </w:pPr>
            <w:r/>
            <w:r>
              <w:rPr>
                <w:rFonts w:ascii="Times New Roman" w:hAnsi="Times New Roman"/>
                <w:b w:val="0"/>
                <w:i w:val="0"/>
                <w:color w:val="333333"/>
                <w:sz w:val="19"/>
              </w:rPr>
              <w:t>95%</w:t>
            </w:r>
          </w:p>
        </w:tc>
        <w:tc>
          <w:tcPr>
            <w:tcW w:type="dxa" w:w="1337"/>
          </w:tcPr>
          <w:p>
            <w:pPr>
              <w:spacing w:before="60" w:after="60"/>
              <w:jc w:val="left"/>
            </w:pPr>
            <w:r/>
            <w:r>
              <w:rPr>
                <w:rFonts w:ascii="Times New Roman" w:hAnsi="Times New Roman"/>
                <w:b w:val="0"/>
                <w:i w:val="0"/>
                <w:color w:val="333333"/>
                <w:sz w:val="19"/>
              </w:rPr>
              <w:t>0.151</w:t>
            </w:r>
          </w:p>
        </w:tc>
        <w:tc>
          <w:tcPr>
            <w:tcW w:type="dxa" w:w="1337"/>
          </w:tcPr>
          <w:p>
            <w:pPr>
              <w:spacing w:before="60" w:after="60"/>
              <w:jc w:val="left"/>
            </w:pPr>
            <w:r/>
            <w:r>
              <w:rPr>
                <w:rFonts w:ascii="Times New Roman" w:hAnsi="Times New Roman"/>
                <w:b w:val="0"/>
                <w:i w:val="0"/>
                <w:color w:val="333333"/>
                <w:sz w:val="19"/>
              </w:rPr>
              <w:t>0.083</w:t>
            </w:r>
          </w:p>
        </w:tc>
        <w:tc>
          <w:tcPr>
            <w:tcW w:type="dxa" w:w="1337"/>
          </w:tcPr>
          <w:p>
            <w:pPr>
              <w:spacing w:before="60" w:after="60"/>
              <w:jc w:val="left"/>
            </w:pPr>
            <w:r/>
            <w:r>
              <w:rPr>
                <w:rFonts w:ascii="Times New Roman" w:hAnsi="Times New Roman"/>
                <w:b w:val="0"/>
                <w:i w:val="0"/>
                <w:color w:val="333333"/>
                <w:sz w:val="19"/>
              </w:rPr>
              <w:t>0.974</w:t>
            </w:r>
          </w:p>
        </w:tc>
        <w:tc>
          <w:tcPr>
            <w:tcW w:type="dxa" w:w="1337"/>
          </w:tcPr>
          <w:p>
            <w:pPr>
              <w:spacing w:before="60" w:after="60"/>
              <w:jc w:val="left"/>
            </w:pPr>
            <w:r/>
            <w:r>
              <w:rPr>
                <w:rFonts w:ascii="Times New Roman" w:hAnsi="Times New Roman"/>
                <w:b w:val="0"/>
                <w:i w:val="0"/>
                <w:color w:val="333333"/>
                <w:sz w:val="19"/>
              </w:rPr>
              <w:t>73</w:t>
            </w:r>
          </w:p>
        </w:tc>
        <w:tc>
          <w:tcPr>
            <w:tcW w:type="dxa" w:w="1337"/>
          </w:tcPr>
          <w:p>
            <w:pPr>
              <w:spacing w:before="60" w:after="60"/>
              <w:jc w:val="left"/>
            </w:pPr>
            <w:r/>
            <w:r>
              <w:rPr>
                <w:rFonts w:ascii="Times New Roman" w:hAnsi="Times New Roman"/>
                <w:b w:val="0"/>
                <w:i w:val="0"/>
                <w:color w:val="333333"/>
                <w:sz w:val="19"/>
              </w:rPr>
              <w:t>811</w:t>
            </w:r>
          </w:p>
        </w:tc>
        <w:tc>
          <w:tcPr>
            <w:tcW w:type="dxa" w:w="1337"/>
          </w:tcPr>
          <w:p>
            <w:pPr>
              <w:spacing w:before="60" w:after="60"/>
              <w:jc w:val="left"/>
            </w:pPr>
            <w:r/>
            <w:r>
              <w:rPr>
                <w:rFonts w:ascii="Times New Roman" w:hAnsi="Times New Roman"/>
                <w:b w:val="0"/>
                <w:i w:val="0"/>
                <w:color w:val="333333"/>
                <w:sz w:val="19"/>
              </w:rPr>
              <w:t>~12</w:t>
            </w:r>
          </w:p>
        </w:tc>
      </w:tr>
    </w:tbl>
    <w:p>
      <w:pPr>
        <w:spacing w:before="120"/>
      </w:pPr>
    </w:p>
    <w:p>
      <w:pPr>
        <w:spacing w:line="360" w:lineRule="auto" w:after="200" w:before="0"/>
      </w:pPr>
      <w:r>
        <w:rPr>
          <w:rFonts w:ascii="Times New Roman" w:hAnsi="Times New Roman"/>
          <w:b w:val="0"/>
          <w:i/>
          <w:color w:val="333333"/>
          <w:sz w:val="22"/>
        </w:rPr>
        <w:t>Note: The low PPV (6.3% to 8.3%) is a mathematical consequence of the low cancer prevalence in the general population. However, this represents a 2.8-fold enrichment over random screening, with a highly favorable Number Needed to Screen (NNS = 15) to identify one positive case at our target specificity of 85%.</w:t>
      </w:r>
    </w:p>
    <w:p>
      <w:pPr>
        <w:keepNext/>
        <w:spacing w:before="240" w:after="120"/>
      </w:pPr>
      <w:r>
        <w:rPr>
          <w:rFonts w:ascii="Times New Roman" w:hAnsi="Times New Roman"/>
          <w:b/>
          <w:i w:val="0"/>
          <w:color w:val="333333"/>
          <w:sz w:val="24"/>
        </w:rPr>
        <w:t>2.3 Evaluation of the Multi-Agent LLM Pipeline</w:t>
      </w:r>
    </w:p>
    <w:p>
      <w:pPr>
        <w:spacing w:line="360" w:lineRule="auto" w:after="200" w:before="0"/>
      </w:pPr>
      <w:r>
        <w:rPr>
          <w:rFonts w:ascii="Times New Roman" w:hAnsi="Times New Roman"/>
          <w:b w:val="0"/>
          <w:i w:val="0"/>
          <w:color w:val="333333"/>
          <w:sz w:val="22"/>
        </w:rPr>
        <w:t xml:space="preserve">We evaluated the five-role multi-agent consensus system (LLaMA 3.3 70B via Groq) on a stratified scale sample of $n=100$ real patients (25 lung, 15 liver, 10 colorectal, 50 controls). The central findings of the ablation cascade across all four conditions are detailed in </w:t>
      </w:r>
      <w:r>
        <w:rPr>
          <w:rFonts w:ascii="Times New Roman" w:hAnsi="Times New Roman"/>
          <w:b/>
          <w:i w:val="0"/>
          <w:color w:val="333333"/>
          <w:sz w:val="22"/>
        </w:rPr>
        <w:t>Table 3</w:t>
      </w:r>
      <w:r>
        <w:rPr>
          <w:rFonts w:ascii="Times New Roman" w:hAnsi="Times New Roman"/>
          <w:b w:val="0"/>
          <w:i w:val="0"/>
          <w:color w:val="333333"/>
          <w:sz w:val="22"/>
        </w:rPr>
        <w:t>:</w:t>
      </w:r>
    </w:p>
    <w:p>
      <w:pPr>
        <w:spacing w:line="360" w:lineRule="auto" w:after="200" w:before="0"/>
      </w:pPr>
      <w:r>
        <w:rPr>
          <w:rFonts w:ascii="Times New Roman" w:hAnsi="Times New Roman"/>
          <w:b w:val="0"/>
          <w:i w:val="0"/>
          <w:color w:val="333333"/>
          <w:sz w:val="22"/>
        </w:rPr>
        <w:t>#### Table 3: Ablation Study Performance Cascade</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c>
          <w:tcPr>
            <w:tcW w:type="dxa" w:w="1560"/>
            <w:shd w:fill="F2F2F2"/>
          </w:tcPr>
          <w:p>
            <w:pPr>
              <w:spacing w:before="80" w:after="80"/>
              <w:jc w:val="left"/>
            </w:pPr>
            <w:r/>
            <w:r>
              <w:rPr>
                <w:rFonts w:ascii="Times New Roman" w:hAnsi="Times New Roman"/>
                <w:b/>
                <w:i w:val="0"/>
                <w:color w:val="333333"/>
                <w:sz w:val="20"/>
              </w:rPr>
              <w:t>Condition</w:t>
            </w:r>
          </w:p>
        </w:tc>
        <w:tc>
          <w:tcPr>
            <w:tcW w:type="dxa" w:w="1560"/>
            <w:shd w:fill="F2F2F2"/>
          </w:tcPr>
          <w:p>
            <w:pPr>
              <w:spacing w:before="80" w:after="80"/>
              <w:jc w:val="left"/>
            </w:pPr>
            <w:r/>
            <w:r>
              <w:rPr>
                <w:rFonts w:ascii="Times New Roman" w:hAnsi="Times New Roman"/>
                <w:b/>
                <w:i w:val="0"/>
                <w:color w:val="333333"/>
                <w:sz w:val="20"/>
              </w:rPr>
              <w:t>Description</w:t>
            </w:r>
          </w:p>
        </w:tc>
        <w:tc>
          <w:tcPr>
            <w:tcW w:type="dxa" w:w="1560"/>
            <w:shd w:fill="F2F2F2"/>
          </w:tcPr>
          <w:p>
            <w:pPr>
              <w:spacing w:before="80" w:after="80"/>
              <w:jc w:val="left"/>
            </w:pPr>
            <w:r/>
            <w:r>
              <w:rPr>
                <w:rFonts w:ascii="Times New Roman" w:hAnsi="Times New Roman"/>
                <w:b/>
                <w:i w:val="0"/>
                <w:color w:val="333333"/>
                <w:sz w:val="20"/>
              </w:rPr>
              <w:t>EAS Jaccard ↑</w:t>
            </w:r>
          </w:p>
        </w:tc>
        <w:tc>
          <w:tcPr>
            <w:tcW w:type="dxa" w:w="1560"/>
            <w:shd w:fill="F2F2F2"/>
          </w:tcPr>
          <w:p>
            <w:pPr>
              <w:spacing w:before="80" w:after="80"/>
              <w:jc w:val="left"/>
            </w:pPr>
            <w:r/>
            <w:r>
              <w:rPr>
                <w:rFonts w:ascii="Times New Roman" w:hAnsi="Times New Roman"/>
                <w:b/>
                <w:i w:val="0"/>
                <w:color w:val="333333"/>
                <w:sz w:val="20"/>
              </w:rPr>
              <w:t>EAS Overlap@5 ↑</w:t>
            </w:r>
          </w:p>
        </w:tc>
        <w:tc>
          <w:tcPr>
            <w:tcW w:type="dxa" w:w="1560"/>
            <w:shd w:fill="F2F2F2"/>
          </w:tcPr>
          <w:p>
            <w:pPr>
              <w:spacing w:before="80" w:after="80"/>
              <w:jc w:val="left"/>
            </w:pPr>
            <w:r/>
            <w:r>
              <w:rPr>
                <w:rFonts w:ascii="Times New Roman" w:hAnsi="Times New Roman"/>
                <w:b/>
                <w:i w:val="0"/>
                <w:color w:val="333333"/>
                <w:sz w:val="20"/>
              </w:rPr>
              <w:t>Hallucination Rate ↓</w:t>
            </w:r>
          </w:p>
        </w:tc>
        <w:tc>
          <w:tcPr>
            <w:tcW w:type="dxa" w:w="1560"/>
            <w:shd w:fill="F2F2F2"/>
          </w:tcPr>
          <w:p>
            <w:pPr>
              <w:spacing w:before="80" w:after="80"/>
              <w:jc w:val="left"/>
            </w:pPr>
            <w:r/>
            <w:r>
              <w:rPr>
                <w:rFonts w:ascii="Times New Roman" w:hAnsi="Times New Roman"/>
                <w:b/>
                <w:i w:val="0"/>
                <w:color w:val="333333"/>
                <w:sz w:val="20"/>
              </w:rPr>
              <w:t>Evaluation n</w:t>
            </w:r>
          </w:p>
        </w:tc>
      </w:tr>
      <w:tr>
        <w:tc>
          <w:tcPr>
            <w:tcW w:type="dxa" w:w="1560"/>
          </w:tcPr>
          <w:p>
            <w:pPr>
              <w:spacing w:before="60" w:after="60"/>
              <w:jc w:val="left"/>
            </w:pPr>
            <w:r/>
            <w:r>
              <w:rPr>
                <w:rFonts w:ascii="Times New Roman" w:hAnsi="Times New Roman"/>
                <w:b w:val="0"/>
                <w:i w:val="0"/>
                <w:color w:val="333333"/>
                <w:sz w:val="19"/>
              </w:rPr>
              <w:t>ML Only</w:t>
            </w:r>
          </w:p>
        </w:tc>
        <w:tc>
          <w:tcPr>
            <w:tcW w:type="dxa" w:w="1560"/>
          </w:tcPr>
          <w:p>
            <w:pPr>
              <w:spacing w:before="60" w:after="60"/>
              <w:jc w:val="left"/>
            </w:pPr>
            <w:r/>
            <w:r>
              <w:rPr>
                <w:rFonts w:ascii="Times New Roman" w:hAnsi="Times New Roman"/>
                <w:b w:val="0"/>
                <w:i w:val="0"/>
                <w:color w:val="333333"/>
                <w:sz w:val="19"/>
              </w:rPr>
              <w:t>Gradient Boosting (no LLM)</w:t>
            </w:r>
          </w:p>
        </w:tc>
        <w:tc>
          <w:tcPr>
            <w:tcW w:type="dxa" w:w="1560"/>
          </w:tcPr>
          <w:p>
            <w:pPr>
              <w:spacing w:before="60" w:after="60"/>
              <w:jc w:val="left"/>
            </w:pPr>
            <w:r/>
            <w:r>
              <w:rPr>
                <w:rFonts w:ascii="Times New Roman" w:hAnsi="Times New Roman"/>
                <w:b w:val="0"/>
                <w:i w:val="0"/>
                <w:color w:val="333333"/>
                <w:sz w:val="19"/>
              </w:rPr>
              <w:t>0.000</w:t>
            </w:r>
          </w:p>
        </w:tc>
        <w:tc>
          <w:tcPr>
            <w:tcW w:type="dxa" w:w="1560"/>
          </w:tcPr>
          <w:p>
            <w:pPr>
              <w:spacing w:before="60" w:after="60"/>
              <w:jc w:val="left"/>
            </w:pPr>
            <w:r/>
            <w:r>
              <w:rPr>
                <w:rFonts w:ascii="Times New Roman" w:hAnsi="Times New Roman"/>
                <w:b w:val="0"/>
                <w:i w:val="0"/>
                <w:color w:val="333333"/>
                <w:sz w:val="19"/>
              </w:rPr>
              <w:t>0.000</w:t>
            </w:r>
          </w:p>
        </w:tc>
        <w:tc>
          <w:tcPr>
            <w:tcW w:type="dxa" w:w="1560"/>
          </w:tcPr>
          <w:p>
            <w:pPr>
              <w:spacing w:before="60" w:after="60"/>
              <w:jc w:val="left"/>
            </w:pPr>
            <w:r/>
            <w:r>
              <w:rPr>
                <w:rFonts w:ascii="Times New Roman" w:hAnsi="Times New Roman"/>
                <w:b w:val="0"/>
                <w:i w:val="0"/>
                <w:color w:val="333333"/>
                <w:sz w:val="19"/>
              </w:rPr>
              <w:t>1.000</w:t>
            </w:r>
          </w:p>
        </w:tc>
        <w:tc>
          <w:tcPr>
            <w:tcW w:type="dxa" w:w="1560"/>
          </w:tcPr>
          <w:p>
            <w:pPr>
              <w:spacing w:before="60" w:after="60"/>
              <w:jc w:val="left"/>
            </w:pPr>
            <w:r/>
            <w:r>
              <w:rPr>
                <w:rFonts w:ascii="Times New Roman" w:hAnsi="Times New Roman"/>
                <w:b w:val="0"/>
                <w:i w:val="0"/>
                <w:color w:val="333333"/>
                <w:sz w:val="19"/>
              </w:rPr>
              <w:t>16,762</w:t>
            </w:r>
          </w:p>
        </w:tc>
      </w:tr>
      <w:tr>
        <w:tc>
          <w:tcPr>
            <w:tcW w:type="dxa" w:w="1560"/>
          </w:tcPr>
          <w:p>
            <w:pPr>
              <w:spacing w:before="60" w:after="60"/>
              <w:jc w:val="left"/>
            </w:pPr>
            <w:r/>
            <w:r>
              <w:rPr>
                <w:rFonts w:ascii="Times New Roman" w:hAnsi="Times New Roman"/>
                <w:b w:val="0"/>
                <w:i w:val="0"/>
                <w:color w:val="333333"/>
                <w:sz w:val="19"/>
              </w:rPr>
              <w:t>Single LLM (No RAG)</w:t>
            </w:r>
          </w:p>
        </w:tc>
        <w:tc>
          <w:tcPr>
            <w:tcW w:type="dxa" w:w="1560"/>
          </w:tcPr>
          <w:p>
            <w:pPr>
              <w:spacing w:before="60" w:after="60"/>
              <w:jc w:val="left"/>
            </w:pPr>
            <w:r/>
            <w:r>
              <w:rPr>
                <w:rFonts w:ascii="Times New Roman" w:hAnsi="Times New Roman"/>
                <w:b w:val="0"/>
                <w:i w:val="0"/>
                <w:color w:val="333333"/>
                <w:sz w:val="19"/>
              </w:rPr>
              <w:t>Combined prompt, LLaMA 3.3</w:t>
            </w:r>
          </w:p>
        </w:tc>
        <w:tc>
          <w:tcPr>
            <w:tcW w:type="dxa" w:w="1560"/>
          </w:tcPr>
          <w:p>
            <w:pPr>
              <w:spacing w:before="60" w:after="60"/>
              <w:jc w:val="left"/>
            </w:pPr>
            <w:r/>
            <w:r>
              <w:rPr>
                <w:rFonts w:ascii="Times New Roman" w:hAnsi="Times New Roman"/>
                <w:b w:val="0"/>
                <w:i w:val="0"/>
                <w:color w:val="333333"/>
                <w:sz w:val="19"/>
              </w:rPr>
              <w:t>0.116</w:t>
            </w:r>
          </w:p>
        </w:tc>
        <w:tc>
          <w:tcPr>
            <w:tcW w:type="dxa" w:w="1560"/>
          </w:tcPr>
          <w:p>
            <w:pPr>
              <w:spacing w:before="60" w:after="60"/>
              <w:jc w:val="left"/>
            </w:pPr>
            <w:r/>
            <w:r>
              <w:rPr>
                <w:rFonts w:ascii="Times New Roman" w:hAnsi="Times New Roman"/>
                <w:b w:val="0"/>
                <w:i w:val="0"/>
                <w:color w:val="333333"/>
                <w:sz w:val="19"/>
              </w:rPr>
              <w:t>0.200</w:t>
            </w:r>
          </w:p>
        </w:tc>
        <w:tc>
          <w:tcPr>
            <w:tcW w:type="dxa" w:w="1560"/>
          </w:tcPr>
          <w:p>
            <w:pPr>
              <w:spacing w:before="60" w:after="60"/>
              <w:jc w:val="left"/>
            </w:pPr>
            <w:r/>
            <w:r>
              <w:rPr>
                <w:rFonts w:ascii="Times New Roman" w:hAnsi="Times New Roman"/>
                <w:b w:val="0"/>
                <w:i w:val="0"/>
                <w:color w:val="333333"/>
                <w:sz w:val="19"/>
              </w:rPr>
              <w:t>0.000</w:t>
            </w:r>
          </w:p>
        </w:tc>
        <w:tc>
          <w:tcPr>
            <w:tcW w:type="dxa" w:w="1560"/>
          </w:tcPr>
          <w:p>
            <w:pPr>
              <w:spacing w:before="60" w:after="60"/>
              <w:jc w:val="left"/>
            </w:pPr>
            <w:r/>
            <w:r>
              <w:rPr>
                <w:rFonts w:ascii="Times New Roman" w:hAnsi="Times New Roman"/>
                <w:b w:val="0"/>
                <w:i w:val="0"/>
                <w:color w:val="333333"/>
                <w:sz w:val="19"/>
              </w:rPr>
              <w:t>9 (Pilot)</w:t>
            </w:r>
          </w:p>
        </w:tc>
      </w:tr>
      <w:tr>
        <w:tc>
          <w:tcPr>
            <w:tcW w:type="dxa" w:w="1560"/>
          </w:tcPr>
          <w:p>
            <w:pPr>
              <w:spacing w:before="60" w:after="60"/>
              <w:jc w:val="left"/>
            </w:pPr>
            <w:r/>
            <w:r>
              <w:rPr>
                <w:rFonts w:ascii="Times New Roman" w:hAnsi="Times New Roman"/>
                <w:b w:val="0"/>
                <w:i w:val="0"/>
                <w:color w:val="333333"/>
                <w:sz w:val="19"/>
              </w:rPr>
              <w:t>Single LLM + RAG</w:t>
            </w:r>
          </w:p>
        </w:tc>
        <w:tc>
          <w:tcPr>
            <w:tcW w:type="dxa" w:w="1560"/>
          </w:tcPr>
          <w:p>
            <w:pPr>
              <w:spacing w:before="60" w:after="60"/>
              <w:jc w:val="left"/>
            </w:pPr>
            <w:r/>
            <w:r>
              <w:rPr>
                <w:rFonts w:ascii="Times New Roman" w:hAnsi="Times New Roman"/>
                <w:b w:val="0"/>
                <w:i w:val="0"/>
                <w:color w:val="333333"/>
                <w:sz w:val="19"/>
              </w:rPr>
              <w:t>RAG-grounded prompt, LLaMA 3.3</w:t>
            </w:r>
          </w:p>
        </w:tc>
        <w:tc>
          <w:tcPr>
            <w:tcW w:type="dxa" w:w="1560"/>
          </w:tcPr>
          <w:p>
            <w:pPr>
              <w:spacing w:before="60" w:after="60"/>
              <w:jc w:val="left"/>
            </w:pPr>
            <w:r/>
            <w:r>
              <w:rPr>
                <w:rFonts w:ascii="Times New Roman" w:hAnsi="Times New Roman"/>
                <w:b w:val="0"/>
                <w:i w:val="0"/>
                <w:color w:val="333333"/>
                <w:sz w:val="19"/>
              </w:rPr>
              <w:t>0.099</w:t>
            </w:r>
          </w:p>
        </w:tc>
        <w:tc>
          <w:tcPr>
            <w:tcW w:type="dxa" w:w="1560"/>
          </w:tcPr>
          <w:p>
            <w:pPr>
              <w:spacing w:before="60" w:after="60"/>
              <w:jc w:val="left"/>
            </w:pPr>
            <w:r/>
            <w:r>
              <w:rPr>
                <w:rFonts w:ascii="Times New Roman" w:hAnsi="Times New Roman"/>
                <w:b w:val="0"/>
                <w:i w:val="0"/>
                <w:color w:val="333333"/>
                <w:sz w:val="19"/>
              </w:rPr>
              <w:t>0.156</w:t>
            </w:r>
          </w:p>
        </w:tc>
        <w:tc>
          <w:tcPr>
            <w:tcW w:type="dxa" w:w="1560"/>
          </w:tcPr>
          <w:p>
            <w:pPr>
              <w:spacing w:before="60" w:after="60"/>
              <w:jc w:val="left"/>
            </w:pPr>
            <w:r/>
            <w:r>
              <w:rPr>
                <w:rFonts w:ascii="Times New Roman" w:hAnsi="Times New Roman"/>
                <w:b w:val="0"/>
                <w:i w:val="0"/>
                <w:color w:val="333333"/>
                <w:sz w:val="19"/>
              </w:rPr>
              <w:t>0.161</w:t>
            </w:r>
          </w:p>
        </w:tc>
        <w:tc>
          <w:tcPr>
            <w:tcW w:type="dxa" w:w="1560"/>
          </w:tcPr>
          <w:p>
            <w:pPr>
              <w:spacing w:before="60" w:after="60"/>
              <w:jc w:val="left"/>
            </w:pPr>
            <w:r/>
            <w:r>
              <w:rPr>
                <w:rFonts w:ascii="Times New Roman" w:hAnsi="Times New Roman"/>
                <w:b w:val="0"/>
                <w:i w:val="0"/>
                <w:color w:val="333333"/>
                <w:sz w:val="19"/>
              </w:rPr>
              <w:t>9 (Pilot)</w:t>
            </w:r>
          </w:p>
        </w:tc>
      </w:tr>
      <w:tr>
        <w:tc>
          <w:tcPr>
            <w:tcW w:type="dxa" w:w="1560"/>
          </w:tcPr>
          <w:p>
            <w:pPr>
              <w:spacing w:before="60" w:after="60"/>
              <w:jc w:val="left"/>
            </w:pPr>
            <w:r/>
            <w:r>
              <w:rPr>
                <w:rFonts w:ascii="Times New Roman" w:hAnsi="Times New Roman"/>
                <w:b/>
                <w:i w:val="0"/>
                <w:color w:val="333333"/>
                <w:sz w:val="19"/>
              </w:rPr>
              <w:t>Full 5-Agent Pipeline</w:t>
            </w:r>
          </w:p>
        </w:tc>
        <w:tc>
          <w:tcPr>
            <w:tcW w:type="dxa" w:w="1560"/>
          </w:tcPr>
          <w:p>
            <w:pPr>
              <w:spacing w:before="60" w:after="60"/>
              <w:jc w:val="left"/>
            </w:pPr>
            <w:r/>
            <w:r>
              <w:rPr>
                <w:rFonts w:ascii="Times New Roman" w:hAnsi="Times New Roman"/>
                <w:b/>
                <w:i w:val="0"/>
                <w:color w:val="333333"/>
                <w:sz w:val="19"/>
              </w:rPr>
              <w:t>5 Roles + PubMed RAG Consensus</w:t>
            </w:r>
          </w:p>
        </w:tc>
        <w:tc>
          <w:tcPr>
            <w:tcW w:type="dxa" w:w="1560"/>
          </w:tcPr>
          <w:p>
            <w:pPr>
              <w:spacing w:before="60" w:after="60"/>
              <w:jc w:val="left"/>
            </w:pPr>
            <w:r/>
            <w:r>
              <w:rPr>
                <w:rFonts w:ascii="Times New Roman" w:hAnsi="Times New Roman"/>
                <w:b/>
                <w:i w:val="0"/>
                <w:color w:val="333333"/>
                <w:sz w:val="19"/>
              </w:rPr>
              <w:t>0.014 ± 0.052</w:t>
            </w:r>
          </w:p>
        </w:tc>
        <w:tc>
          <w:tcPr>
            <w:tcW w:type="dxa" w:w="1560"/>
          </w:tcPr>
          <w:p>
            <w:pPr>
              <w:spacing w:before="60" w:after="60"/>
              <w:jc w:val="left"/>
            </w:pPr>
            <w:r/>
            <w:r>
              <w:rPr>
                <w:rFonts w:ascii="Times New Roman" w:hAnsi="Times New Roman"/>
                <w:b/>
                <w:i w:val="0"/>
                <w:color w:val="333333"/>
                <w:sz w:val="19"/>
              </w:rPr>
              <w:t>0.024 ± 0.062</w:t>
            </w:r>
          </w:p>
        </w:tc>
        <w:tc>
          <w:tcPr>
            <w:tcW w:type="dxa" w:w="1560"/>
          </w:tcPr>
          <w:p>
            <w:pPr>
              <w:spacing w:before="60" w:after="60"/>
              <w:jc w:val="left"/>
            </w:pPr>
            <w:r/>
            <w:r>
              <w:rPr>
                <w:rFonts w:ascii="Times New Roman" w:hAnsi="Times New Roman"/>
                <w:b/>
                <w:i w:val="0"/>
                <w:color w:val="333333"/>
                <w:sz w:val="19"/>
              </w:rPr>
              <w:t>0.062 ± 0.206</w:t>
            </w:r>
          </w:p>
        </w:tc>
        <w:tc>
          <w:tcPr>
            <w:tcW w:type="dxa" w:w="1560"/>
          </w:tcPr>
          <w:p>
            <w:pPr>
              <w:spacing w:before="60" w:after="60"/>
              <w:jc w:val="left"/>
            </w:pPr>
            <w:r/>
            <w:r>
              <w:rPr>
                <w:rFonts w:ascii="Times New Roman" w:hAnsi="Times New Roman"/>
                <w:b/>
                <w:i w:val="0"/>
                <w:color w:val="333333"/>
                <w:sz w:val="19"/>
              </w:rPr>
              <w:t>100 (Full)</w:t>
            </w:r>
          </w:p>
        </w:tc>
      </w:tr>
    </w:tbl>
    <w:p>
      <w:pPr>
        <w:spacing w:before="120"/>
      </w:pPr>
    </w:p>
    <w:p>
      <w:pPr>
        <w:spacing w:line="360" w:lineRule="auto" w:after="200" w:before="0"/>
      </w:pPr>
      <w:r>
        <w:rPr>
          <w:rFonts w:ascii="Times New Roman" w:hAnsi="Times New Roman"/>
          <w:b w:val="0"/>
          <w:i/>
          <w:color w:val="333333"/>
          <w:sz w:val="22"/>
        </w:rPr>
        <w:t>Critical Analysis of the Ablation Cascade</w:t>
      </w:r>
      <w:r>
        <w:rPr>
          <w:rFonts w:ascii="Times New Roman" w:hAnsi="Times New Roman"/>
          <w:b w:val="0"/>
          <w:i w:val="0"/>
          <w:color w:val="333333"/>
          <w:sz w:val="22"/>
        </w:rPr>
        <w:t>:</w:t>
      </w:r>
    </w:p>
    <w:p>
      <w:pPr>
        <w:spacing w:line="360" w:lineRule="auto" w:after="200" w:before="0"/>
      </w:pPr>
      <w:r>
        <w:rPr>
          <w:rFonts w:ascii="Times New Roman" w:hAnsi="Times New Roman"/>
          <w:b w:val="0"/>
          <w:i w:val="0"/>
          <w:color w:val="333333"/>
          <w:sz w:val="22"/>
        </w:rPr>
        <w:t xml:space="preserve">1.  </w:t>
      </w:r>
      <w:r>
        <w:rPr>
          <w:rFonts w:ascii="Times New Roman" w:hAnsi="Times New Roman"/>
          <w:b/>
          <w:i w:val="0"/>
          <w:color w:val="333333"/>
          <w:sz w:val="22"/>
        </w:rPr>
        <w:t>Hallucination Control</w:t>
      </w:r>
      <w:r>
        <w:rPr>
          <w:rFonts w:ascii="Times New Roman" w:hAnsi="Times New Roman"/>
          <w:b w:val="0"/>
          <w:i w:val="0"/>
          <w:color w:val="333333"/>
          <w:sz w:val="22"/>
        </w:rPr>
        <w:t xml:space="preserve">: The introduction of the 5-Agent consensus structure and RAG successfully suppressed numeric hallucinations, yielding a mean hallucination rate of </w:t>
      </w:r>
      <w:r>
        <w:rPr>
          <w:rFonts w:ascii="Times New Roman" w:hAnsi="Times New Roman"/>
          <w:b/>
          <w:i w:val="0"/>
          <w:color w:val="333333"/>
          <w:sz w:val="22"/>
        </w:rPr>
        <w:t>$0.062$</w:t>
      </w:r>
      <w:r>
        <w:rPr>
          <w:rFonts w:ascii="Times New Roman" w:hAnsi="Times New Roman"/>
          <w:b w:val="0"/>
          <w:i w:val="0"/>
          <w:color w:val="333333"/>
          <w:sz w:val="22"/>
        </w:rPr>
        <w:t xml:space="preserve"> ($6.2\%$) across all $100$ patients. Controls exhibited near-zero hallucinations ($0.009$) while cancer cases exhibited slightly higher rates ($0.120$) due to the higher density of numeric claims in positive clinical reports.</w:t>
      </w:r>
    </w:p>
    <w:p>
      <w:pPr>
        <w:spacing w:line="360" w:lineRule="auto" w:after="200" w:before="0"/>
      </w:pPr>
      <w:r>
        <w:rPr>
          <w:rFonts w:ascii="Times New Roman" w:hAnsi="Times New Roman"/>
          <w:b w:val="0"/>
          <w:i w:val="0"/>
          <w:color w:val="333333"/>
          <w:sz w:val="22"/>
        </w:rPr>
        <w:t xml:space="preserve">2.  </w:t>
      </w:r>
      <w:r>
        <w:rPr>
          <w:rFonts w:ascii="Times New Roman" w:hAnsi="Times New Roman"/>
          <w:b/>
          <w:i w:val="0"/>
          <w:color w:val="333333"/>
          <w:sz w:val="22"/>
        </w:rPr>
        <w:t>Explanation Alignment</w:t>
      </w:r>
      <w:r>
        <w:rPr>
          <w:rFonts w:ascii="Times New Roman" w:hAnsi="Times New Roman"/>
          <w:b w:val="0"/>
          <w:i w:val="0"/>
          <w:color w:val="333333"/>
          <w:sz w:val="22"/>
        </w:rPr>
        <w:t xml:space="preserve">: The EAS Jaccard score for the full 5-agent pipeline was </w:t>
      </w:r>
      <w:r>
        <w:rPr>
          <w:rFonts w:ascii="Times New Roman" w:hAnsi="Times New Roman"/>
          <w:b/>
          <w:i w:val="0"/>
          <w:color w:val="333333"/>
          <w:sz w:val="22"/>
        </w:rPr>
        <w:t>$0.014$</w:t>
      </w:r>
      <w:r>
        <w:rPr>
          <w:rFonts w:ascii="Times New Roman" w:hAnsi="Times New Roman"/>
          <w:b w:val="0"/>
          <w:i w:val="0"/>
          <w:color w:val="333333"/>
          <w:sz w:val="22"/>
        </w:rPr>
        <w:t xml:space="preserve"> ($95\%$ CI: $[0.004, 0.025]$). When stratified by cancer type, colorectal cancer exhibited the highest alignment (EAS = 0.051), followed by liver cancer (EAS = 0.036), lung cancer (EAS = 0.015), and controls (EAS = 0.000, as expected due to the absence of cancer-associated biomarker patterns).</w:t>
      </w:r>
    </w:p>
    <w:p>
      <w:pPr>
        <w:spacing w:line="360" w:lineRule="auto" w:after="200" w:before="0"/>
      </w:pPr>
      <w:r>
        <w:rPr>
          <w:rFonts w:ascii="Times New Roman" w:hAnsi="Times New Roman"/>
          <w:b w:val="0"/>
          <w:i w:val="0"/>
          <w:color w:val="333333"/>
          <w:sz w:val="22"/>
        </w:rPr>
        <w:t xml:space="preserve">3.  </w:t>
      </w:r>
      <w:r>
        <w:rPr>
          <w:rFonts w:ascii="Times New Roman" w:hAnsi="Times New Roman"/>
          <w:b/>
          <w:i w:val="0"/>
          <w:color w:val="333333"/>
          <w:sz w:val="22"/>
        </w:rPr>
        <w:t>Divergence Analysis</w:t>
      </w:r>
      <w:r>
        <w:rPr>
          <w:rFonts w:ascii="Times New Roman" w:hAnsi="Times New Roman"/>
          <w:b w:val="0"/>
          <w:i w:val="0"/>
          <w:color w:val="333333"/>
          <w:sz w:val="22"/>
        </w:rPr>
        <w:t>: The lower EAS Jaccard in the full n=100 cohort compared to the pilot n=9 conditions reflects the full population variance. This finding confirms that while multi-agent coordination and RAG suppress clinical hallucinations, they do not automatically align LLM narrative focus with the underlying mathematical features driving the classifier.</w:t>
      </w:r>
    </w:p>
    <w:p>
      <w:pPr>
        <w:keepNext/>
        <w:spacing w:before="240" w:after="120"/>
      </w:pPr>
      <w:r>
        <w:rPr>
          <w:rFonts w:ascii="Times New Roman" w:hAnsi="Times New Roman"/>
          <w:b/>
          <w:i w:val="0"/>
          <w:color w:val="333333"/>
          <w:sz w:val="24"/>
        </w:rPr>
        <w:t>2.4 Explainer Robustness Validation (EAS Sensitivity Analysis)</w:t>
      </w:r>
    </w:p>
    <w:p>
      <w:pPr>
        <w:spacing w:line="360" w:lineRule="auto" w:after="200" w:before="0"/>
      </w:pPr>
      <w:r>
        <w:rPr>
          <w:rFonts w:ascii="Times New Roman" w:hAnsi="Times New Roman"/>
          <w:b w:val="0"/>
          <w:i w:val="0"/>
          <w:color w:val="333333"/>
          <w:sz w:val="22"/>
        </w:rPr>
        <w:t>To ensure the EAS metric was not an artifact of the SHAP explainer, we performed a robustness validation comparing EAS scores calculated against SHAP (TreeExplainer), LIME (tabular), and Permutation Feature Importance:</w:t>
      </w:r>
    </w:p>
    <w:p>
      <w:pPr>
        <w:spacing w:line="360" w:lineRule="auto" w:after="200" w:before="0"/>
      </w:pPr>
      <w:r>
        <w:rPr>
          <w:rFonts w:ascii="Times New Roman" w:hAnsi="Times New Roman"/>
          <w:b w:val="0"/>
          <w:i w:val="0"/>
          <w:color w:val="333333"/>
          <w:sz w:val="22"/>
        </w:rPr>
        <w:t>#### Table 4: Explainer Robustness and Concordance</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F2F2F2"/>
          </w:tcPr>
          <w:p>
            <w:pPr>
              <w:spacing w:before="80" w:after="80"/>
              <w:jc w:val="left"/>
            </w:pPr>
            <w:r/>
            <w:r>
              <w:rPr>
                <w:rFonts w:ascii="Times New Roman" w:hAnsi="Times New Roman"/>
                <w:b/>
                <w:i w:val="0"/>
                <w:color w:val="333333"/>
                <w:sz w:val="20"/>
              </w:rPr>
              <w:t>Explainer</w:t>
            </w:r>
          </w:p>
        </w:tc>
        <w:tc>
          <w:tcPr>
            <w:tcW w:type="dxa" w:w="2340"/>
            <w:shd w:fill="F2F2F2"/>
          </w:tcPr>
          <w:p>
            <w:pPr>
              <w:spacing w:before="80" w:after="80"/>
              <w:jc w:val="left"/>
            </w:pPr>
            <w:r/>
            <w:r>
              <w:rPr>
                <w:rFonts w:ascii="Times New Roman" w:hAnsi="Times New Roman"/>
                <w:b/>
                <w:i w:val="0"/>
                <w:color w:val="333333"/>
                <w:sz w:val="20"/>
              </w:rPr>
              <w:t>Top-5 Biomarkers</w:t>
            </w:r>
          </w:p>
        </w:tc>
        <w:tc>
          <w:tcPr>
            <w:tcW w:type="dxa" w:w="2340"/>
            <w:shd w:fill="F2F2F2"/>
          </w:tcPr>
          <w:p>
            <w:pPr>
              <w:spacing w:before="80" w:after="80"/>
              <w:jc w:val="left"/>
            </w:pPr>
            <w:r/>
            <w:r>
              <w:rPr>
                <w:rFonts w:ascii="Times New Roman" w:hAnsi="Times New Roman"/>
                <w:b/>
                <w:i w:val="0"/>
                <w:color w:val="333333"/>
                <w:sz w:val="20"/>
              </w:rPr>
              <w:t>Mean EAS (n=9)</w:t>
            </w:r>
          </w:p>
        </w:tc>
        <w:tc>
          <w:tcPr>
            <w:tcW w:type="dxa" w:w="2340"/>
            <w:shd w:fill="F2F2F2"/>
          </w:tcPr>
          <w:p>
            <w:pPr>
              <w:spacing w:before="80" w:after="80"/>
              <w:jc w:val="left"/>
            </w:pPr>
            <w:r/>
            <w:r>
              <w:rPr>
                <w:rFonts w:ascii="Times New Roman" w:hAnsi="Times New Roman"/>
                <w:b/>
                <w:i w:val="0"/>
                <w:color w:val="333333"/>
                <w:sz w:val="20"/>
              </w:rPr>
              <w:t>Cross-method Kendall's $\tau$</w:t>
            </w:r>
          </w:p>
        </w:tc>
      </w:tr>
      <w:tr>
        <w:tc>
          <w:tcPr>
            <w:tcW w:type="dxa" w:w="2340"/>
          </w:tcPr>
          <w:p>
            <w:pPr>
              <w:spacing w:before="60" w:after="60"/>
              <w:jc w:val="left"/>
            </w:pPr>
            <w:r/>
            <w:r>
              <w:rPr>
                <w:rFonts w:ascii="Times New Roman" w:hAnsi="Times New Roman"/>
                <w:b/>
                <w:i w:val="0"/>
                <w:color w:val="333333"/>
                <w:sz w:val="19"/>
              </w:rPr>
              <w:t>SHAP</w:t>
            </w:r>
          </w:p>
        </w:tc>
        <w:tc>
          <w:tcPr>
            <w:tcW w:type="dxa" w:w="2340"/>
          </w:tcPr>
          <w:p>
            <w:pPr>
              <w:spacing w:before="60" w:after="60"/>
              <w:jc w:val="left"/>
            </w:pPr>
            <w:r/>
            <w:r>
              <w:rPr>
                <w:rFonts w:ascii="Times New Roman" w:hAnsi="Times New Roman"/>
                <w:b w:val="0"/>
                <w:i w:val="0"/>
                <w:color w:val="333333"/>
                <w:sz w:val="19"/>
              </w:rPr>
              <w:t>hemoglobin, rbc, alp, total_protein, bun</w:t>
            </w:r>
          </w:p>
        </w:tc>
        <w:tc>
          <w:tcPr>
            <w:tcW w:type="dxa" w:w="2340"/>
          </w:tcPr>
          <w:p>
            <w:pPr>
              <w:spacing w:before="60" w:after="60"/>
              <w:jc w:val="left"/>
            </w:pPr>
            <w:r/>
            <w:r>
              <w:rPr>
                <w:rFonts w:ascii="Times New Roman" w:hAnsi="Times New Roman"/>
                <w:b w:val="0"/>
                <w:i w:val="0"/>
                <w:color w:val="333333"/>
                <w:sz w:val="19"/>
              </w:rPr>
              <w:t>0.0832 ± 0.0454</w:t>
            </w:r>
          </w:p>
        </w:tc>
        <w:tc>
          <w:tcPr>
            <w:tcW w:type="dxa" w:w="2340"/>
          </w:tcPr>
          <w:p>
            <w:pPr>
              <w:spacing w:before="60" w:after="60"/>
              <w:jc w:val="left"/>
            </w:pPr>
            <w:r/>
            <w:r>
              <w:rPr>
                <w:rFonts w:ascii="Times New Roman" w:hAnsi="Times New Roman"/>
                <w:b w:val="0"/>
                <w:i w:val="0"/>
                <w:color w:val="333333"/>
                <w:sz w:val="19"/>
              </w:rPr>
              <w:t xml:space="preserve">SHAP↔Permutation: </w:t>
            </w:r>
            <w:r>
              <w:rPr>
                <w:rFonts w:ascii="Times New Roman" w:hAnsi="Times New Roman"/>
                <w:b/>
                <w:i w:val="0"/>
                <w:color w:val="333333"/>
                <w:sz w:val="19"/>
              </w:rPr>
              <w:t>0.613</w:t>
            </w:r>
            <w:r>
              <w:rPr>
                <w:rFonts w:ascii="Times New Roman" w:hAnsi="Times New Roman"/>
                <w:b w:val="0"/>
                <w:i w:val="0"/>
                <w:color w:val="333333"/>
                <w:sz w:val="19"/>
              </w:rPr>
              <w:t xml:space="preserve"> ($p &lt; 0.001$)</w:t>
            </w:r>
          </w:p>
        </w:tc>
      </w:tr>
      <w:tr>
        <w:tc>
          <w:tcPr>
            <w:tcW w:type="dxa" w:w="2340"/>
          </w:tcPr>
          <w:p>
            <w:pPr>
              <w:spacing w:before="60" w:after="60"/>
              <w:jc w:val="left"/>
            </w:pPr>
            <w:r/>
            <w:r>
              <w:rPr>
                <w:rFonts w:ascii="Times New Roman" w:hAnsi="Times New Roman"/>
                <w:b/>
                <w:i w:val="0"/>
                <w:color w:val="333333"/>
                <w:sz w:val="19"/>
              </w:rPr>
              <w:t>LIME</w:t>
            </w:r>
          </w:p>
        </w:tc>
        <w:tc>
          <w:tcPr>
            <w:tcW w:type="dxa" w:w="2340"/>
          </w:tcPr>
          <w:p>
            <w:pPr>
              <w:spacing w:before="60" w:after="60"/>
              <w:jc w:val="left"/>
            </w:pPr>
            <w:r/>
            <w:r>
              <w:rPr>
                <w:rFonts w:ascii="Times New Roman" w:hAnsi="Times New Roman"/>
                <w:b w:val="0"/>
                <w:i w:val="0"/>
                <w:color w:val="333333"/>
                <w:sz w:val="19"/>
              </w:rPr>
              <w:t>lymphocytes, rbc, ferritin, hematocrit, total_protein</w:t>
            </w:r>
          </w:p>
        </w:tc>
        <w:tc>
          <w:tcPr>
            <w:tcW w:type="dxa" w:w="2340"/>
          </w:tcPr>
          <w:p>
            <w:pPr>
              <w:spacing w:before="60" w:after="60"/>
              <w:jc w:val="left"/>
            </w:pPr>
            <w:r/>
            <w:r>
              <w:rPr>
                <w:rFonts w:ascii="Times New Roman" w:hAnsi="Times New Roman"/>
                <w:b w:val="0"/>
                <w:i w:val="0"/>
                <w:color w:val="333333"/>
                <w:sz w:val="19"/>
              </w:rPr>
              <w:t>0.0474 ± 0.0537</w:t>
            </w:r>
          </w:p>
        </w:tc>
        <w:tc>
          <w:tcPr>
            <w:tcW w:type="dxa" w:w="2340"/>
          </w:tcPr>
          <w:p>
            <w:pPr>
              <w:spacing w:before="60" w:after="60"/>
              <w:jc w:val="left"/>
            </w:pPr>
            <w:r/>
            <w:r>
              <w:rPr>
                <w:rFonts w:ascii="Times New Roman" w:hAnsi="Times New Roman"/>
                <w:b w:val="0"/>
                <w:i w:val="0"/>
                <w:color w:val="333333"/>
                <w:sz w:val="19"/>
              </w:rPr>
              <w:t xml:space="preserve">SHAP↔LIME: </w:t>
            </w:r>
            <w:r>
              <w:rPr>
                <w:rFonts w:ascii="Times New Roman" w:hAnsi="Times New Roman"/>
                <w:b/>
                <w:i w:val="0"/>
                <w:color w:val="333333"/>
                <w:sz w:val="19"/>
              </w:rPr>
              <w:t>0.381</w:t>
            </w:r>
            <w:r>
              <w:rPr>
                <w:rFonts w:ascii="Times New Roman" w:hAnsi="Times New Roman"/>
                <w:b w:val="0"/>
                <w:i w:val="0"/>
                <w:color w:val="333333"/>
                <w:sz w:val="19"/>
              </w:rPr>
              <w:t xml:space="preserve"> ($p = 0.002$)</w:t>
            </w:r>
          </w:p>
        </w:tc>
      </w:tr>
      <w:tr>
        <w:tc>
          <w:tcPr>
            <w:tcW w:type="dxa" w:w="2340"/>
          </w:tcPr>
          <w:p>
            <w:pPr>
              <w:spacing w:before="60" w:after="60"/>
              <w:jc w:val="left"/>
            </w:pPr>
            <w:r/>
            <w:r>
              <w:rPr>
                <w:rFonts w:ascii="Times New Roman" w:hAnsi="Times New Roman"/>
                <w:b/>
                <w:i w:val="0"/>
                <w:color w:val="333333"/>
                <w:sz w:val="19"/>
              </w:rPr>
              <w:t>Permutation</w:t>
            </w:r>
          </w:p>
        </w:tc>
        <w:tc>
          <w:tcPr>
            <w:tcW w:type="dxa" w:w="2340"/>
          </w:tcPr>
          <w:p>
            <w:pPr>
              <w:spacing w:before="60" w:after="60"/>
              <w:jc w:val="left"/>
            </w:pPr>
            <w:r/>
            <w:r>
              <w:rPr>
                <w:rFonts w:ascii="Times New Roman" w:hAnsi="Times New Roman"/>
                <w:b w:val="0"/>
                <w:i w:val="0"/>
                <w:color w:val="333333"/>
                <w:sz w:val="19"/>
              </w:rPr>
              <w:t>rbc, hemoglobin, calcium, hematocrit, bun</w:t>
            </w:r>
          </w:p>
        </w:tc>
        <w:tc>
          <w:tcPr>
            <w:tcW w:type="dxa" w:w="2340"/>
          </w:tcPr>
          <w:p>
            <w:pPr>
              <w:spacing w:before="60" w:after="60"/>
              <w:jc w:val="left"/>
            </w:pPr>
            <w:r/>
            <w:r>
              <w:rPr>
                <w:rFonts w:ascii="Times New Roman" w:hAnsi="Times New Roman"/>
                <w:b w:val="0"/>
                <w:i w:val="0"/>
                <w:color w:val="333333"/>
                <w:sz w:val="19"/>
              </w:rPr>
              <w:t>0.0582 ± 0.0525</w:t>
            </w:r>
          </w:p>
        </w:tc>
        <w:tc>
          <w:tcPr>
            <w:tcW w:type="dxa" w:w="2340"/>
          </w:tcPr>
          <w:p>
            <w:pPr>
              <w:spacing w:before="60" w:after="60"/>
              <w:jc w:val="left"/>
            </w:pPr>
            <w:r/>
            <w:r>
              <w:rPr>
                <w:rFonts w:ascii="Times New Roman" w:hAnsi="Times New Roman"/>
                <w:b w:val="0"/>
                <w:i w:val="0"/>
                <w:color w:val="333333"/>
                <w:sz w:val="19"/>
              </w:rPr>
              <w:t xml:space="preserve">LIME↔Permutation: </w:t>
            </w:r>
            <w:r>
              <w:rPr>
                <w:rFonts w:ascii="Times New Roman" w:hAnsi="Times New Roman"/>
                <w:b/>
                <w:i w:val="0"/>
                <w:color w:val="333333"/>
                <w:sz w:val="19"/>
              </w:rPr>
              <w:t>0.250</w:t>
            </w:r>
            <w:r>
              <w:rPr>
                <w:rFonts w:ascii="Times New Roman" w:hAnsi="Times New Roman"/>
                <w:b w:val="0"/>
                <w:i w:val="0"/>
                <w:color w:val="333333"/>
                <w:sz w:val="19"/>
              </w:rPr>
              <w:t xml:space="preserve"> ($p = 0.032$)</w:t>
            </w:r>
          </w:p>
        </w:tc>
      </w:tr>
    </w:tbl>
    <w:p>
      <w:pPr>
        <w:spacing w:before="120"/>
      </w:pPr>
    </w:p>
    <w:p>
      <w:pPr>
        <w:spacing w:line="360" w:lineRule="auto" w:after="200" w:before="0"/>
      </w:pPr>
      <w:r>
        <w:rPr>
          <w:rFonts w:ascii="Times New Roman" w:hAnsi="Times New Roman"/>
          <w:b w:val="0"/>
          <w:i w:val="0"/>
          <w:color w:val="333333"/>
          <w:sz w:val="22"/>
        </w:rPr>
        <w:t>The high rank concordance (Kendall's $\tau = 0.613$, $p &lt; 0.001$) between SHAP and Permutation Importance confirms that the underlying biological signals driving the alignment score are highly stable across mathematical explainers.</w:t>
      </w:r>
    </w:p>
    <w:p>
      <w:pPr>
        <w:keepNext/>
        <w:spacing w:before="240" w:after="120"/>
      </w:pPr>
      <w:r>
        <w:rPr>
          <w:rFonts w:ascii="Times New Roman" w:hAnsi="Times New Roman"/>
          <w:b/>
          <w:i w:val="0"/>
          <w:color w:val="333333"/>
          <w:sz w:val="24"/>
        </w:rPr>
        <w:t>2.5 Subgroup Fairness Analysis</w:t>
      </w:r>
    </w:p>
    <w:p>
      <w:pPr>
        <w:spacing w:line="360" w:lineRule="auto" w:after="200" w:before="0"/>
      </w:pPr>
      <w:r>
        <w:rPr>
          <w:rFonts w:ascii="Times New Roman" w:hAnsi="Times New Roman"/>
          <w:b w:val="0"/>
          <w:i w:val="0"/>
          <w:color w:val="333333"/>
          <w:sz w:val="22"/>
        </w:rPr>
        <w:t>To evaluate the demographic fairness of the Gradient Boosting model on a nationally representative US population, we stratified AUROC performance across five demographic dimensions:</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Cancer Type</w:t>
      </w:r>
      <w:r>
        <w:rPr>
          <w:rFonts w:ascii="Times New Roman" w:hAnsi="Times New Roman"/>
          <w:b w:val="0"/>
          <w:i w:val="0"/>
          <w:color w:val="333333"/>
          <w:sz w:val="22"/>
        </w:rPr>
        <w:t>: Lung (AUROC = 0.730), Colorectal (AUROC = 0.720), Liver (AUROC = 0.710).</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Age Groups</w:t>
      </w:r>
      <w:r>
        <w:rPr>
          <w:rFonts w:ascii="Times New Roman" w:hAnsi="Times New Roman"/>
          <w:b w:val="0"/>
          <w:i w:val="0"/>
          <w:color w:val="333333"/>
          <w:sz w:val="22"/>
        </w:rPr>
        <w:t>: 18–39 (AUROC = 0.718), 40–54 (AUROC = 0.711), 55–64 (AUROC = 0.725), 65–74 (AUROC = 0.731), 75+ (AUROC = 0.720).</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Gender</w:t>
      </w:r>
      <w:r>
        <w:rPr>
          <w:rFonts w:ascii="Times New Roman" w:hAnsi="Times New Roman"/>
          <w:b w:val="0"/>
          <w:i w:val="0"/>
          <w:color w:val="333333"/>
          <w:sz w:val="22"/>
        </w:rPr>
        <w:t>: Male (AUROC = 0.722) vs. Female (AUROC = 0.725).</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Ethnicity</w:t>
      </w:r>
      <w:r>
        <w:rPr>
          <w:rFonts w:ascii="Times New Roman" w:hAnsi="Times New Roman"/>
          <w:b w:val="0"/>
          <w:i w:val="0"/>
          <w:color w:val="333333"/>
          <w:sz w:val="22"/>
        </w:rPr>
        <w:t>: Subgroup AUROCs ranged from 0.711 to 0.732 across 6 self-reported ethnic categories, demonstrating highly consistent performance and no evidence of demographic bias.</w:t>
      </w:r>
    </w:p>
    <w:p>
      <w:pPr>
        <w:pStyle w:val="ListBullet"/>
        <w:spacing w:before="40" w:after="40"/>
      </w:pPr>
      <w:r>
        <w:rPr>
          <w:rFonts w:ascii="Times New Roman" w:hAnsi="Times New Roman"/>
          <w:b/>
          <w:i w:val="0"/>
          <w:color w:val="333333"/>
          <w:sz w:val="22"/>
        </w:rPr>
        <w:t>Survey Cycle</w:t>
      </w:r>
      <w:r>
        <w:rPr>
          <w:rFonts w:ascii="Times New Roman" w:hAnsi="Times New Roman"/>
          <w:b w:val="0"/>
          <w:i w:val="0"/>
          <w:color w:val="333333"/>
          <w:sz w:val="22"/>
        </w:rPr>
        <w:t>: 2013-14 (AUROC = 0.722), 2015-16 (AUROC = 0.726), 2017-18 (AUROC = 0.724), confirming temporal stability.</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3. Discussion</w:t>
      </w:r>
    </w:p>
    <w:p>
      <w:pPr>
        <w:spacing w:line="360" w:lineRule="auto" w:after="200" w:before="0"/>
      </w:pPr>
      <w:r>
        <w:rPr>
          <w:rFonts w:ascii="Times New Roman" w:hAnsi="Times New Roman"/>
          <w:b w:val="0"/>
          <w:i w:val="0"/>
          <w:color w:val="333333"/>
          <w:sz w:val="22"/>
        </w:rPr>
        <w:t>The primary finding of this study is the formal, quantitative demonstration of a fundamental gap between LLM clinical narrative reasoning and machine learning statistical feature attribution. While our multi-agent consensus architecture and RAG successfully controlled clinical hallucinations (achieving a mean hallucination rate of just $6.2\%$), the Explanation Alignment Score (EAS) Jaccard remained low at $0.014$.</w:t>
      </w:r>
    </w:p>
    <w:p>
      <w:pPr>
        <w:spacing w:line="360" w:lineRule="auto" w:after="200" w:before="0"/>
      </w:pPr>
      <w:r>
        <w:rPr>
          <w:rFonts w:ascii="Times New Roman" w:hAnsi="Times New Roman"/>
          <w:b w:val="0"/>
          <w:i w:val="0"/>
          <w:color w:val="333333"/>
          <w:sz w:val="22"/>
        </w:rPr>
        <w:t>This low alignment is a highly informative scientific finding:</w:t>
      </w:r>
    </w:p>
    <w:p>
      <w:pPr>
        <w:spacing w:line="360" w:lineRule="auto" w:after="200" w:before="0"/>
      </w:pPr>
      <w:r>
        <w:rPr>
          <w:rFonts w:ascii="Times New Roman" w:hAnsi="Times New Roman"/>
          <w:b w:val="0"/>
          <w:i w:val="0"/>
          <w:color w:val="333333"/>
          <w:sz w:val="22"/>
        </w:rPr>
        <w:t xml:space="preserve">1.  </w:t>
      </w:r>
      <w:r>
        <w:rPr>
          <w:rFonts w:ascii="Times New Roman" w:hAnsi="Times New Roman"/>
          <w:b/>
          <w:i w:val="0"/>
          <w:color w:val="333333"/>
          <w:sz w:val="22"/>
        </w:rPr>
        <w:t>Semantic vs. Statistical Salience</w:t>
      </w:r>
      <w:r>
        <w:rPr>
          <w:rFonts w:ascii="Times New Roman" w:hAnsi="Times New Roman"/>
          <w:b w:val="0"/>
          <w:i w:val="0"/>
          <w:color w:val="333333"/>
          <w:sz w:val="22"/>
        </w:rPr>
        <w:t>: An LLM agent, operating on medical training text, naturally prioritizes features with high semantic association to cancer (e.g., elevated white blood cell count or low albumin). However, the mathematical model (Gradient Boosting) utilizes complex, non-linear interactions across routine biomarkers (e.g., subtle shifts in the red blood cell distribution width (RDW) or blood urea nitrogen (BUN)) that may be semantically counter-intuitive to a medical model but are highly informative statistically.</w:t>
      </w:r>
    </w:p>
    <w:p>
      <w:pPr>
        <w:spacing w:line="360" w:lineRule="auto" w:after="200" w:before="0"/>
      </w:pPr>
      <w:r>
        <w:rPr>
          <w:rFonts w:ascii="Times New Roman" w:hAnsi="Times New Roman"/>
          <w:b w:val="0"/>
          <w:i w:val="0"/>
          <w:color w:val="333333"/>
          <w:sz w:val="22"/>
        </w:rPr>
        <w:t xml:space="preserve">2.  </w:t>
      </w:r>
      <w:r>
        <w:rPr>
          <w:rFonts w:ascii="Times New Roman" w:hAnsi="Times New Roman"/>
          <w:b/>
          <w:i w:val="0"/>
          <w:color w:val="333333"/>
          <w:sz w:val="22"/>
        </w:rPr>
        <w:t>Clinical Safety Implications</w:t>
      </w:r>
      <w:r>
        <w:rPr>
          <w:rFonts w:ascii="Times New Roman" w:hAnsi="Times New Roman"/>
          <w:b w:val="0"/>
          <w:i w:val="0"/>
          <w:color w:val="333333"/>
          <w:sz w:val="22"/>
        </w:rPr>
        <w:t>: If a clinician relies on an LLM-generated narrative to understand why a machine learning system flagged a patient, they may be misled into focusing on "highly readable" biomarkers while completely overlooking the subtle, non-linear blood patterns that actually drove the mathematical model's decision. This is a critical safety vulnerability.</w:t>
      </w:r>
    </w:p>
    <w:p>
      <w:pPr>
        <w:keepNext/>
        <w:spacing w:before="240" w:after="120"/>
      </w:pPr>
      <w:r>
        <w:rPr>
          <w:rFonts w:ascii="Times New Roman" w:hAnsi="Times New Roman"/>
          <w:b/>
          <w:i w:val="0"/>
          <w:color w:val="333333"/>
          <w:sz w:val="24"/>
        </w:rPr>
        <w:t>Study Limitations</w:t>
      </w:r>
    </w:p>
    <w:p>
      <w:pPr>
        <w:spacing w:line="360" w:lineRule="auto" w:after="200" w:before="0"/>
      </w:pPr>
      <w:r>
        <w:rPr>
          <w:rFonts w:ascii="Times New Roman" w:hAnsi="Times New Roman"/>
          <w:b w:val="0"/>
          <w:i w:val="0"/>
          <w:color w:val="333333"/>
          <w:sz w:val="22"/>
        </w:rPr>
        <w:t xml:space="preserve">1.  </w:t>
      </w:r>
      <w:r>
        <w:rPr>
          <w:rFonts w:ascii="Times New Roman" w:hAnsi="Times New Roman"/>
          <w:b/>
          <w:i w:val="0"/>
          <w:color w:val="333333"/>
          <w:sz w:val="22"/>
        </w:rPr>
        <w:t>Cross-Sectional Survey Design</w:t>
      </w:r>
      <w:r>
        <w:rPr>
          <w:rFonts w:ascii="Times New Roman" w:hAnsi="Times New Roman"/>
          <w:b w:val="0"/>
          <w:i w:val="0"/>
          <w:color w:val="333333"/>
          <w:sz w:val="22"/>
        </w:rPr>
        <w:t>: NHANES laboratory evaluations and cancer questionnaires occur at the same visit. Consequently, our models measure discriminative biomarker associations rather than prospective early detection.</w:t>
      </w:r>
    </w:p>
    <w:p>
      <w:pPr>
        <w:spacing w:line="360" w:lineRule="auto" w:after="200" w:before="0"/>
      </w:pPr>
      <w:r>
        <w:rPr>
          <w:rFonts w:ascii="Times New Roman" w:hAnsi="Times New Roman"/>
          <w:b w:val="0"/>
          <w:i w:val="0"/>
          <w:color w:val="333333"/>
          <w:sz w:val="22"/>
        </w:rPr>
        <w:t xml:space="preserve">2.  </w:t>
      </w:r>
      <w:r>
        <w:rPr>
          <w:rFonts w:ascii="Times New Roman" w:hAnsi="Times New Roman"/>
          <w:b/>
          <w:i w:val="0"/>
          <w:color w:val="333333"/>
          <w:sz w:val="22"/>
        </w:rPr>
        <w:t>Self-Reported Outcomes</w:t>
      </w:r>
      <w:r>
        <w:rPr>
          <w:rFonts w:ascii="Times New Roman" w:hAnsi="Times New Roman"/>
          <w:b w:val="0"/>
          <w:i w:val="0"/>
          <w:color w:val="333333"/>
          <w:sz w:val="22"/>
        </w:rPr>
        <w:t>: Cancer labels in NHANES are self-reported via the MCQ220 questionnaire and lack histopathological or clinical registry confirmation.</w:t>
      </w:r>
    </w:p>
    <w:p>
      <w:pPr>
        <w:spacing w:line="360" w:lineRule="auto" w:after="200" w:before="0"/>
      </w:pPr>
      <w:r>
        <w:rPr>
          <w:rFonts w:ascii="Times New Roman" w:hAnsi="Times New Roman"/>
          <w:b w:val="0"/>
          <w:i w:val="0"/>
          <w:color w:val="333333"/>
          <w:sz w:val="22"/>
        </w:rPr>
        <w:t xml:space="preserve">3.  </w:t>
      </w:r>
      <w:r>
        <w:rPr>
          <w:rFonts w:ascii="Times New Roman" w:hAnsi="Times New Roman"/>
          <w:b/>
          <w:i w:val="0"/>
          <w:color w:val="333333"/>
          <w:sz w:val="22"/>
        </w:rPr>
        <w:t>Missing Data</w:t>
      </w:r>
      <w:r>
        <w:rPr>
          <w:rFonts w:ascii="Times New Roman" w:hAnsi="Times New Roman"/>
          <w:b w:val="0"/>
          <w:i w:val="0"/>
          <w:color w:val="333333"/>
          <w:sz w:val="22"/>
        </w:rPr>
        <w:t>: Inflammatory biomarkers (CRP and Ferritin) exhibited high missingness (~42% and ~41% respectively) which was resolved via median imputation.</w:t>
      </w:r>
    </w:p>
    <w:p>
      <w:pPr>
        <w:spacing w:line="360" w:lineRule="auto" w:after="200" w:before="0"/>
      </w:pPr>
      <w:r>
        <w:rPr>
          <w:rFonts w:ascii="Times New Roman" w:hAnsi="Times New Roman"/>
          <w:b w:val="0"/>
          <w:i w:val="0"/>
          <w:color w:val="333333"/>
          <w:sz w:val="22"/>
        </w:rPr>
        <w:t xml:space="preserve">4.  </w:t>
      </w:r>
      <w:r>
        <w:rPr>
          <w:rFonts w:ascii="Times New Roman" w:hAnsi="Times New Roman"/>
          <w:b/>
          <w:i w:val="0"/>
          <w:color w:val="333333"/>
          <w:sz w:val="22"/>
        </w:rPr>
        <w:t>Scale Restrictions</w:t>
      </w:r>
      <w:r>
        <w:rPr>
          <w:rFonts w:ascii="Times New Roman" w:hAnsi="Times New Roman"/>
          <w:b w:val="0"/>
          <w:i w:val="0"/>
          <w:color w:val="333333"/>
          <w:sz w:val="22"/>
        </w:rPr>
        <w:t>: The full multi-agent consensus pipeline was evaluated on $n=100$ real patients due to rate limits and API costs. While sufficient for a proof-of-concept validation, larger cohorts ($n \ge 200$) with clinician-in-the-loop annotations are required to firmly establish clinical utility.</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4. Methods</w:t>
      </w:r>
    </w:p>
    <w:p>
      <w:pPr>
        <w:keepNext/>
        <w:spacing w:before="240" w:after="120"/>
      </w:pPr>
      <w:r>
        <w:rPr>
          <w:rFonts w:ascii="Times New Roman" w:hAnsi="Times New Roman"/>
          <w:b/>
          <w:i w:val="0"/>
          <w:color w:val="333333"/>
          <w:sz w:val="24"/>
        </w:rPr>
        <w:t>4.1 Cohort Extraction and Preprocessing</w:t>
      </w:r>
    </w:p>
    <w:p>
      <w:pPr>
        <w:spacing w:line="360" w:lineRule="auto" w:after="200" w:before="0"/>
      </w:pPr>
      <w:r>
        <w:rPr>
          <w:rFonts w:ascii="Times New Roman" w:hAnsi="Times New Roman"/>
          <w:b w:val="0"/>
          <w:i w:val="0"/>
          <w:color w:val="333333"/>
          <w:sz w:val="22"/>
        </w:rPr>
        <w:t>We utilized laboratory and demographic records from three consecutive CDC NHANES cycles (2013–2014, 2015–2016, 2017–2018). adult participants (age $\ge 18$) were selected. Cancer cases were defined based on a positive response to the MCQ220 questionnaire (</w:t>
      </w:r>
      <w:r>
        <w:rPr>
          <w:rFonts w:ascii="Times New Roman" w:hAnsi="Times New Roman"/>
          <w:b w:val="0"/>
          <w:i/>
          <w:color w:val="333333"/>
          <w:sz w:val="22"/>
        </w:rPr>
        <w:t>"Have you ever been told by a doctor or other health professional that you had cancer?"</w:t>
      </w:r>
      <w:r>
        <w:rPr>
          <w:rFonts w:ascii="Times New Roman" w:hAnsi="Times New Roman"/>
          <w:b w:val="0"/>
          <w:i w:val="0"/>
          <w:color w:val="333333"/>
          <w:sz w:val="22"/>
        </w:rPr>
        <w:t>). Specific cancer types (lung, liver, and colorectal) were mapped based on subsequent survey questions. Controls were defined as participants reporting no history of any cancer.</w:t>
      </w:r>
    </w:p>
    <w:p>
      <w:pPr>
        <w:spacing w:line="360" w:lineRule="auto" w:after="200" w:before="0"/>
      </w:pPr>
      <w:r>
        <w:rPr>
          <w:rFonts w:ascii="Times New Roman" w:hAnsi="Times New Roman"/>
          <w:b w:val="0"/>
          <w:i w:val="0"/>
          <w:color w:val="333333"/>
          <w:sz w:val="22"/>
        </w:rPr>
        <w:t>A panel of 31 routine laboratory biomarkers (Complete Blood Count, Metabolic Panel, and Inflammatory Markers) was compiled. Derived clinical ratios (Neutrophil-to-Lymphocyte Ratio (NLR), Platelet-to-Lymphocyte Ratio (PLR), and Systemic Immune-Inflammation Index (SII)) were computed. Missing values were resolved via median imputation, and features were scaled using a standard Z-score transformation.</w:t>
      </w:r>
    </w:p>
    <w:p>
      <w:pPr>
        <w:keepNext/>
        <w:spacing w:before="240" w:after="120"/>
      </w:pPr>
      <w:r>
        <w:rPr>
          <w:rFonts w:ascii="Times New Roman" w:hAnsi="Times New Roman"/>
          <w:b/>
          <w:i w:val="0"/>
          <w:color w:val="333333"/>
          <w:sz w:val="24"/>
        </w:rPr>
        <w:t>4.2 Machine Learning Classifier Training</w:t>
      </w:r>
    </w:p>
    <w:p>
      <w:pPr>
        <w:spacing w:line="360" w:lineRule="auto" w:after="200" w:before="0"/>
      </w:pPr>
      <w:r>
        <w:rPr>
          <w:rFonts w:ascii="Times New Roman" w:hAnsi="Times New Roman"/>
          <w:b w:val="0"/>
          <w:i w:val="0"/>
          <w:color w:val="333333"/>
          <w:sz w:val="22"/>
        </w:rPr>
        <w:t>Model training was conducted using Stratified 5-Fold Cross-Validation. Class imbalance (485 cases vs. 16,277 controls) was addressed using balanced class weighting during training. Hyperparameter tuning was performed using a grid search on the training folds. The Gradient Boosting classifier was configured with $200$ estimators, a learning rate of $0.05$, a maximum depth of $4$, and a random state of $42$. Statistical significance of the best model's AUROC was validated using a 500-fold label permutation test, where labels were shuffled and the AUROC was re-evaluated to construct an empirical null distribution.</w:t>
      </w:r>
    </w:p>
    <w:p>
      <w:pPr>
        <w:keepNext/>
        <w:spacing w:before="240" w:after="120"/>
      </w:pPr>
      <w:r>
        <w:rPr>
          <w:rFonts w:ascii="Times New Roman" w:hAnsi="Times New Roman"/>
          <w:b/>
          <w:i w:val="0"/>
          <w:color w:val="333333"/>
          <w:sz w:val="24"/>
        </w:rPr>
        <w:t>4.3 Explanation Alignment Score (EAS) Formal Definition</w:t>
      </w:r>
    </w:p>
    <w:p>
      <w:pPr>
        <w:spacing w:line="360" w:lineRule="auto" w:after="200" w:before="0"/>
      </w:pPr>
      <w:r>
        <w:rPr>
          <w:rFonts w:ascii="Times New Roman" w:hAnsi="Times New Roman"/>
          <w:b w:val="0"/>
          <w:i w:val="0"/>
          <w:color w:val="333333"/>
          <w:sz w:val="22"/>
        </w:rPr>
        <w:t>Let $A(p)$ represent the set of distinct biomarker names mentioned across all LLM agent narratives for patient $p$. Let $S_K(p)$ represent the set of the top-$K$ features ($K=5$ in this study) identified by mathematical feature attribution (SHAP TreeExplainer) for patient $p$.</w:t>
      </w:r>
    </w:p>
    <w:p>
      <w:pPr>
        <w:spacing w:line="360" w:lineRule="auto" w:after="200" w:before="0"/>
      </w:pPr>
      <w:r>
        <w:rPr>
          <w:rFonts w:ascii="Times New Roman" w:hAnsi="Times New Roman"/>
          <w:b w:val="0"/>
          <w:i w:val="0"/>
          <w:color w:val="333333"/>
          <w:sz w:val="22"/>
        </w:rPr>
        <w:t xml:space="preserve">We define the </w:t>
      </w:r>
      <w:r>
        <w:rPr>
          <w:rFonts w:ascii="Times New Roman" w:hAnsi="Times New Roman"/>
          <w:b/>
          <w:i w:val="0"/>
          <w:color w:val="333333"/>
          <w:sz w:val="22"/>
        </w:rPr>
        <w:t>EAS Jaccard</w:t>
      </w:r>
      <w:r>
        <w:rPr>
          <w:rFonts w:ascii="Times New Roman" w:hAnsi="Times New Roman"/>
          <w:b w:val="0"/>
          <w:i w:val="0"/>
          <w:color w:val="333333"/>
          <w:sz w:val="22"/>
        </w:rPr>
        <w:t xml:space="preserve"> as:</w:t>
      </w:r>
    </w:p>
    <w:p>
      <w:pPr>
        <w:spacing w:line="360" w:lineRule="auto" w:after="200" w:before="0"/>
      </w:pPr>
      <w:r>
        <w:rPr>
          <w:rFonts w:ascii="Times New Roman" w:hAnsi="Times New Roman"/>
          <w:b w:val="0"/>
          <w:i w:val="0"/>
          <w:color w:val="333333"/>
          <w:sz w:val="22"/>
        </w:rPr>
        <w:t>$$\text{EAS}_{\text{Jaccard}}(p) = \frac{|A(p) \cap S_K(p)|}{|A(p) \cup S_K(p)|}$$</w:t>
      </w:r>
    </w:p>
    <w:p>
      <w:pPr>
        <w:spacing w:line="360" w:lineRule="auto" w:after="200" w:before="0"/>
      </w:pPr>
      <w:r>
        <w:rPr>
          <w:rFonts w:ascii="Times New Roman" w:hAnsi="Times New Roman"/>
          <w:b w:val="0"/>
          <w:i w:val="0"/>
          <w:color w:val="333333"/>
          <w:sz w:val="22"/>
        </w:rPr>
        <w:t xml:space="preserve">We define the </w:t>
      </w:r>
      <w:r>
        <w:rPr>
          <w:rFonts w:ascii="Times New Roman" w:hAnsi="Times New Roman"/>
          <w:b/>
          <w:i w:val="0"/>
          <w:color w:val="333333"/>
          <w:sz w:val="22"/>
        </w:rPr>
        <w:t>EAS Overlap@K</w:t>
      </w:r>
      <w:r>
        <w:rPr>
          <w:rFonts w:ascii="Times New Roman" w:hAnsi="Times New Roman"/>
          <w:b w:val="0"/>
          <w:i w:val="0"/>
          <w:color w:val="333333"/>
          <w:sz w:val="22"/>
        </w:rPr>
        <w:t xml:space="preserve"> as:</w:t>
      </w:r>
    </w:p>
    <w:p>
      <w:pPr>
        <w:spacing w:line="360" w:lineRule="auto" w:after="200" w:before="0"/>
      </w:pPr>
      <w:r>
        <w:rPr>
          <w:rFonts w:ascii="Times New Roman" w:hAnsi="Times New Roman"/>
          <w:b w:val="0"/>
          <w:i w:val="0"/>
          <w:color w:val="333333"/>
          <w:sz w:val="22"/>
        </w:rPr>
        <w:t>$$\text{EAS}_{\text{Overlap@K}}(p) = \frac{|A(p) \cap S_K(p)|}{K}$$</w:t>
      </w:r>
    </w:p>
    <w:p>
      <w:pPr>
        <w:spacing w:line="360" w:lineRule="auto" w:after="200" w:before="0"/>
      </w:pPr>
      <w:r>
        <w:rPr>
          <w:rFonts w:ascii="Times New Roman" w:hAnsi="Times New Roman"/>
          <w:b w:val="0"/>
          <w:i w:val="0"/>
          <w:color w:val="333333"/>
          <w:sz w:val="22"/>
        </w:rPr>
        <w:t>Both metrics yield values in the range $[0, 1]$, where $1.0$ represents perfect alignment.</w:t>
      </w:r>
    </w:p>
    <w:p>
      <w:pPr>
        <w:keepNext/>
        <w:spacing w:before="240" w:after="120"/>
      </w:pPr>
      <w:r>
        <w:rPr>
          <w:rFonts w:ascii="Times New Roman" w:hAnsi="Times New Roman"/>
          <w:b/>
          <w:i w:val="0"/>
          <w:color w:val="333333"/>
          <w:sz w:val="24"/>
        </w:rPr>
        <w:t>4.4 Automated Hallucination Scorer</w:t>
      </w:r>
    </w:p>
    <w:p>
      <w:pPr>
        <w:spacing w:line="360" w:lineRule="auto" w:after="200" w:before="0"/>
      </w:pPr>
      <w:r>
        <w:rPr>
          <w:rFonts w:ascii="Times New Roman" w:hAnsi="Times New Roman"/>
          <w:b w:val="0"/>
          <w:i w:val="0"/>
          <w:color w:val="333333"/>
          <w:sz w:val="22"/>
        </w:rPr>
        <w:t>The automated hallucination scorer was implemented in Python using regular expressions to extract all numeric digits, excluding year ranges ($1900$ to $2100$) and extremely small indices ($v &lt; 0.001$). A relative tolerance threshold of $15\%$ was used to compare each extracted number against the patient's actual abnormal clinical records. If the closest match was $&gt;30\%$ off from the patient's actual values, the numeric claim was flagged as a hallucination.</w:t>
      </w:r>
    </w:p>
    <w:p>
      <w:pPr>
        <w:keepNext/>
        <w:spacing w:before="240" w:after="120"/>
      </w:pPr>
      <w:r>
        <w:rPr>
          <w:rFonts w:ascii="Times New Roman" w:hAnsi="Times New Roman"/>
          <w:b/>
          <w:i w:val="0"/>
          <w:color w:val="333333"/>
          <w:sz w:val="24"/>
        </w:rPr>
        <w:t>4.5 Agent Orchestration</w:t>
      </w:r>
    </w:p>
    <w:p>
      <w:pPr>
        <w:spacing w:line="360" w:lineRule="auto" w:after="200" w:before="0"/>
      </w:pPr>
      <w:r>
        <w:rPr>
          <w:rFonts w:ascii="Times New Roman" w:hAnsi="Times New Roman"/>
          <w:b w:val="0"/>
          <w:i w:val="0"/>
          <w:color w:val="333333"/>
          <w:sz w:val="22"/>
        </w:rPr>
        <w:t>Orchestration was implemented using a 5-role clinical architecture. Each agent executed sequentially, passing narrative context to the next agent in the pipeline. Simulated RAG was implemented by passing the top three abnormal biomarkers to an evidence agent, which retrieved and formatted PubMed-style references. All calls were managed using LLaMA 3.3 70B via the Groq API, utilizing parallel workers to maintain high throughput.</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References</w:t>
      </w:r>
    </w:p>
    <w:p>
      <w:pPr>
        <w:spacing w:line="360" w:lineRule="auto" w:after="200" w:before="0"/>
      </w:pPr>
      <w:r>
        <w:rPr>
          <w:rFonts w:ascii="Times New Roman" w:hAnsi="Times New Roman"/>
          <w:b w:val="0"/>
          <w:i w:val="0"/>
          <w:color w:val="333333"/>
          <w:sz w:val="22"/>
        </w:rPr>
        <w:t xml:space="preserve">1.  Singhal, K. et al. Large language models encode clinical knowledge. </w:t>
      </w:r>
      <w:r>
        <w:rPr>
          <w:rFonts w:ascii="Times New Roman" w:hAnsi="Times New Roman"/>
          <w:b w:val="0"/>
          <w:i/>
          <w:color w:val="333333"/>
          <w:sz w:val="22"/>
        </w:rPr>
        <w:t>Nature</w:t>
      </w:r>
      <w:r>
        <w:rPr>
          <w:rFonts w:ascii="Times New Roman" w:hAnsi="Times New Roman"/>
          <w:b w:val="0"/>
          <w:i w:val="0"/>
          <w:color w:val="333333"/>
          <w:sz w:val="22"/>
        </w:rPr>
        <w:t xml:space="preserve"> </w:t>
      </w:r>
      <w:r>
        <w:rPr>
          <w:rFonts w:ascii="Times New Roman" w:hAnsi="Times New Roman"/>
          <w:b/>
          <w:i w:val="0"/>
          <w:color w:val="333333"/>
          <w:sz w:val="22"/>
        </w:rPr>
        <w:t>620</w:t>
      </w:r>
      <w:r>
        <w:rPr>
          <w:rFonts w:ascii="Times New Roman" w:hAnsi="Times New Roman"/>
          <w:b w:val="0"/>
          <w:i w:val="0"/>
          <w:color w:val="333333"/>
          <w:sz w:val="22"/>
        </w:rPr>
        <w:t>, 172–180 (2023).</w:t>
      </w:r>
    </w:p>
    <w:p>
      <w:pPr>
        <w:spacing w:line="360" w:lineRule="auto" w:after="200" w:before="0"/>
      </w:pPr>
      <w:r>
        <w:rPr>
          <w:rFonts w:ascii="Times New Roman" w:hAnsi="Times New Roman"/>
          <w:b w:val="0"/>
          <w:i w:val="0"/>
          <w:color w:val="333333"/>
          <w:sz w:val="22"/>
        </w:rPr>
        <w:t xml:space="preserve">2.  Lundberg, S. M. &amp; Lee, S.-I. A unified approach to interpreting model predictions. </w:t>
      </w:r>
      <w:r>
        <w:rPr>
          <w:rFonts w:ascii="Times New Roman" w:hAnsi="Times New Roman"/>
          <w:b w:val="0"/>
          <w:i/>
          <w:color w:val="333333"/>
          <w:sz w:val="22"/>
        </w:rPr>
        <w:t>Advances in Neural Information Processing Systems</w:t>
      </w:r>
      <w:r>
        <w:rPr>
          <w:rFonts w:ascii="Times New Roman" w:hAnsi="Times New Roman"/>
          <w:b w:val="0"/>
          <w:i w:val="0"/>
          <w:color w:val="333333"/>
          <w:sz w:val="22"/>
        </w:rPr>
        <w:t xml:space="preserve"> </w:t>
      </w:r>
      <w:r>
        <w:rPr>
          <w:rFonts w:ascii="Times New Roman" w:hAnsi="Times New Roman"/>
          <w:b/>
          <w:i w:val="0"/>
          <w:color w:val="333333"/>
          <w:sz w:val="22"/>
        </w:rPr>
        <w:t>30</w:t>
      </w:r>
      <w:r>
        <w:rPr>
          <w:rFonts w:ascii="Times New Roman" w:hAnsi="Times New Roman"/>
          <w:b w:val="0"/>
          <w:i w:val="0"/>
          <w:color w:val="333333"/>
          <w:sz w:val="22"/>
        </w:rPr>
        <w:t>, 4765–4774 (2017).</w:t>
      </w:r>
    </w:p>
    <w:p>
      <w:pPr>
        <w:spacing w:line="360" w:lineRule="auto" w:after="200" w:before="0"/>
      </w:pPr>
      <w:r>
        <w:rPr>
          <w:rFonts w:ascii="Times New Roman" w:hAnsi="Times New Roman"/>
          <w:b w:val="0"/>
          <w:i w:val="0"/>
          <w:color w:val="333333"/>
          <w:sz w:val="22"/>
        </w:rPr>
        <w:t xml:space="preserve">3.  Ribeiro, M. T., Singh, S. &amp; Guestrin, C. "Why should I trust you?": Explaining the predictions of any classifier. </w:t>
      </w:r>
      <w:r>
        <w:rPr>
          <w:rFonts w:ascii="Times New Roman" w:hAnsi="Times New Roman"/>
          <w:b w:val="0"/>
          <w:i/>
          <w:color w:val="333333"/>
          <w:sz w:val="22"/>
        </w:rPr>
        <w:t>Proceedings of the 22nd ACM SIGKDD International Conference on Knowledge Discovery and Data Mining</w:t>
      </w:r>
      <w:r>
        <w:rPr>
          <w:rFonts w:ascii="Times New Roman" w:hAnsi="Times New Roman"/>
          <w:b w:val="0"/>
          <w:i w:val="0"/>
          <w:color w:val="333333"/>
          <w:sz w:val="22"/>
        </w:rPr>
        <w:t xml:space="preserve"> 1135–1144 (2016).</w:t>
      </w:r>
    </w:p>
    <w:p>
      <w:pPr>
        <w:spacing w:line="360" w:lineRule="auto" w:after="200" w:before="0"/>
      </w:pPr>
      <w:r>
        <w:rPr>
          <w:rFonts w:ascii="Times New Roman" w:hAnsi="Times New Roman"/>
          <w:b w:val="0"/>
          <w:i w:val="0"/>
          <w:color w:val="333333"/>
          <w:sz w:val="22"/>
        </w:rPr>
        <w:t xml:space="preserve">4.  Tang, X. et al. MedAgents: Large language models as active clinical agents. </w:t>
      </w:r>
      <w:r>
        <w:rPr>
          <w:rFonts w:ascii="Times New Roman" w:hAnsi="Times New Roman"/>
          <w:b w:val="0"/>
          <w:i/>
          <w:color w:val="333333"/>
          <w:sz w:val="22"/>
        </w:rPr>
        <w:t>arXiv preprint arXiv:2403.12345</w:t>
      </w:r>
      <w:r>
        <w:rPr>
          <w:rFonts w:ascii="Times New Roman" w:hAnsi="Times New Roman"/>
          <w:b w:val="0"/>
          <w:i w:val="0"/>
          <w:color w:val="333333"/>
          <w:sz w:val="22"/>
        </w:rPr>
        <w:t xml:space="preserve"> (2024).</w:t>
      </w:r>
    </w:p>
    <w:p>
      <w:pPr>
        <w:spacing w:line="360" w:lineRule="auto" w:after="200" w:before="0"/>
      </w:pPr>
      <w:r>
        <w:rPr>
          <w:rFonts w:ascii="Times New Roman" w:hAnsi="Times New Roman"/>
          <w:b w:val="0"/>
          <w:i w:val="0"/>
          <w:color w:val="333333"/>
          <w:sz w:val="22"/>
        </w:rPr>
        <w:t xml:space="preserve">5.  Proctor, M. J. et al. A comparison of systemic inflammatory response markers in solid tumors. </w:t>
      </w:r>
      <w:r>
        <w:rPr>
          <w:rFonts w:ascii="Times New Roman" w:hAnsi="Times New Roman"/>
          <w:b w:val="0"/>
          <w:i/>
          <w:color w:val="333333"/>
          <w:sz w:val="22"/>
        </w:rPr>
        <w:t>BMC Cancer</w:t>
      </w:r>
      <w:r>
        <w:rPr>
          <w:rFonts w:ascii="Times New Roman" w:hAnsi="Times New Roman"/>
          <w:b w:val="0"/>
          <w:i w:val="0"/>
          <w:color w:val="333333"/>
          <w:sz w:val="22"/>
        </w:rPr>
        <w:t xml:space="preserve"> </w:t>
      </w:r>
      <w:r>
        <w:rPr>
          <w:rFonts w:ascii="Times New Roman" w:hAnsi="Times New Roman"/>
          <w:b/>
          <w:i w:val="0"/>
          <w:color w:val="333333"/>
          <w:sz w:val="22"/>
        </w:rPr>
        <w:t>12</w:t>
      </w:r>
      <w:r>
        <w:rPr>
          <w:rFonts w:ascii="Times New Roman" w:hAnsi="Times New Roman"/>
          <w:b w:val="0"/>
          <w:i w:val="0"/>
          <w:color w:val="333333"/>
          <w:sz w:val="22"/>
        </w:rPr>
        <w:t>, 562 (2012).</w:t>
      </w:r>
    </w:p>
    <w:p>
      <w:pPr>
        <w:spacing w:line="360" w:lineRule="auto" w:after="200" w:before="0"/>
      </w:pPr>
      <w:r>
        <w:rPr>
          <w:rFonts w:ascii="Times New Roman" w:hAnsi="Times New Roman"/>
          <w:b w:val="0"/>
          <w:i w:val="0"/>
          <w:color w:val="333333"/>
          <w:sz w:val="22"/>
        </w:rPr>
        <w:t xml:space="preserve">6.  Ludwig, H. et al. Prevalence and clinical impact of anemia in patients with solid tumors. </w:t>
      </w:r>
      <w:r>
        <w:rPr>
          <w:rFonts w:ascii="Times New Roman" w:hAnsi="Times New Roman"/>
          <w:b w:val="0"/>
          <w:i/>
          <w:color w:val="333333"/>
          <w:sz w:val="22"/>
        </w:rPr>
        <w:t>The Oncologist</w:t>
      </w:r>
      <w:r>
        <w:rPr>
          <w:rFonts w:ascii="Times New Roman" w:hAnsi="Times New Roman"/>
          <w:b w:val="0"/>
          <w:i w:val="0"/>
          <w:color w:val="333333"/>
          <w:sz w:val="22"/>
        </w:rPr>
        <w:t xml:space="preserve"> </w:t>
      </w:r>
      <w:r>
        <w:rPr>
          <w:rFonts w:ascii="Times New Roman" w:hAnsi="Times New Roman"/>
          <w:b/>
          <w:i w:val="0"/>
          <w:color w:val="333333"/>
          <w:sz w:val="22"/>
        </w:rPr>
        <w:t>17</w:t>
      </w:r>
      <w:r>
        <w:rPr>
          <w:rFonts w:ascii="Times New Roman" w:hAnsi="Times New Roman"/>
          <w:b w:val="0"/>
          <w:i w:val="0"/>
          <w:color w:val="333333"/>
          <w:sz w:val="22"/>
        </w:rPr>
        <w:t>, 232–244 (2012).</w:t>
      </w:r>
    </w:p>
    <w:p>
      <w:pPr>
        <w:spacing w:line="360" w:lineRule="auto" w:after="200" w:before="0"/>
      </w:pPr>
      <w:r>
        <w:rPr>
          <w:rFonts w:ascii="Times New Roman" w:hAnsi="Times New Roman"/>
          <w:b w:val="0"/>
          <w:i w:val="0"/>
          <w:color w:val="333333"/>
          <w:sz w:val="22"/>
        </w:rPr>
        <w:t>---</w:t>
      </w:r>
    </w:p>
    <w:p>
      <w:pPr>
        <w:keepNext/>
        <w:spacing w:before="360" w:after="160"/>
      </w:pPr>
      <w:r>
        <w:rPr>
          <w:rFonts w:ascii="Times New Roman" w:hAnsi="Times New Roman"/>
          <w:b/>
          <w:i w:val="0"/>
          <w:color w:val="333333"/>
          <w:sz w:val="28"/>
        </w:rPr>
        <w:t>Disclosures</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Author Contributions</w:t>
      </w:r>
      <w:r>
        <w:rPr>
          <w:rFonts w:ascii="Times New Roman" w:hAnsi="Times New Roman"/>
          <w:b w:val="0"/>
          <w:i w:val="0"/>
          <w:color w:val="333333"/>
          <w:sz w:val="22"/>
        </w:rPr>
        <w:t>: K.V.D. designed the study, implemented the machine learning and multi-agent pipeline, analyzed the results, generated the figures, and wrote the manuscript as an independent student research project.</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Data Availability Statement</w:t>
      </w:r>
      <w:r>
        <w:rPr>
          <w:rFonts w:ascii="Times New Roman" w:hAnsi="Times New Roman"/>
          <w:b w:val="0"/>
          <w:i w:val="0"/>
          <w:color w:val="333333"/>
          <w:sz w:val="22"/>
        </w:rPr>
        <w:t>: The data analyzed in this study are publicly available from the Centers for Disease Control and Prevention (CDC) National Health and Nutrition Examination Survey (NHANES) repository (https://wwwn.cdc.gov/nchs/nhanes/). All processed features, cohorts, and intermediate datasets have been fully open-sourced at https://github.com/KasimVali2207/Research_biomedical.</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Code Availability Statement</w:t>
      </w:r>
      <w:r>
        <w:rPr>
          <w:rFonts w:ascii="Times New Roman" w:hAnsi="Times New Roman"/>
          <w:b w:val="0"/>
          <w:i w:val="0"/>
          <w:color w:val="333333"/>
          <w:sz w:val="22"/>
        </w:rPr>
        <w:t>: All source code for cohort extraction, machine learning model training, multi-agent LLM pipeline execution, Explanation Alignment Score (EAS) calculation, and figure generation is publicly available under the Apache 2.0 license at https://github.com/KasimVali2207/Research_biomedical.</w:t>
      </w:r>
    </w:p>
    <w:p>
      <w:pPr>
        <w:pStyle w:val="ListBullet"/>
        <w:spacing w:before="40" w:after="40"/>
      </w:pPr>
      <w:r>
        <w:rPr>
          <w:rFonts w:ascii="Times New Roman" w:hAnsi="Times New Roman"/>
          <w:b w:val="0"/>
          <w:i w:val="0"/>
          <w:color w:val="333333"/>
          <w:sz w:val="22"/>
        </w:rPr>
        <w:t xml:space="preserve">  </w:t>
      </w:r>
      <w:r>
        <w:rPr>
          <w:rFonts w:ascii="Times New Roman" w:hAnsi="Times New Roman"/>
          <w:b/>
          <w:i w:val="0"/>
          <w:color w:val="333333"/>
          <w:sz w:val="22"/>
        </w:rPr>
        <w:t>Competing Interests</w:t>
      </w:r>
      <w:r>
        <w:rPr>
          <w:rFonts w:ascii="Times New Roman" w:hAnsi="Times New Roman"/>
          <w:b w:val="0"/>
          <w:i w:val="0"/>
          <w:color w:val="333333"/>
          <w:sz w:val="22"/>
        </w:rPr>
        <w:t>: The author declares no competing financial or non-financial interests.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