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center"/>
      </w:pPr>
      <w:r>
        <w:rPr>
          <w:rFonts w:ascii="Times New Roman" w:hAnsi="Times New Roman"/>
          <w:b/>
          <w:i w:val="0"/>
          <w:color w:val="333333"/>
          <w:sz w:val="36"/>
        </w:rPr>
        <w:t>Supplementary Information</w:t>
      </w:r>
    </w:p>
    <w:p>
      <w:pPr>
        <w:keepNext/>
        <w:spacing w:before="360" w:after="160"/>
      </w:pPr>
      <w:r>
        <w:rPr>
          <w:rFonts w:ascii="Times New Roman" w:hAnsi="Times New Roman"/>
          <w:b/>
          <w:i w:val="0"/>
          <w:color w:val="333333"/>
          <w:sz w:val="28"/>
        </w:rPr>
        <w:t>Multi-Cancer Risk Stratification + LLM Agent Pipeline (NHANES)</w:t>
      </w:r>
    </w:p>
    <w:p>
      <w:pPr>
        <w:spacing w:line="360" w:lineRule="auto" w:after="200" w:before="0"/>
      </w:pPr>
      <w:r>
        <w:rPr>
          <w:rFonts w:ascii="Times New Roman" w:hAnsi="Times New Roman"/>
          <w:b/>
          <w:i w:val="0"/>
          <w:color w:val="333333"/>
          <w:sz w:val="22"/>
        </w:rPr>
        <w:t>Study Title</w:t>
      </w:r>
      <w:r>
        <w:rPr>
          <w:rFonts w:ascii="Times New Roman" w:hAnsi="Times New Roman"/>
          <w:b w:val="0"/>
          <w:i w:val="0"/>
          <w:color w:val="333333"/>
          <w:sz w:val="22"/>
        </w:rPr>
        <w:t>: Biomarker-Based Discriminative Cancer Risk Analysis with LLM Multi-Agent Explanation Consensus: A Cross-Sectional Population Study Introducing the Explanation Alignment Score (EAS)</w:t>
      </w:r>
    </w:p>
    <w:p>
      <w:pPr>
        <w:spacing w:line="360" w:lineRule="auto" w:after="200" w:before="0"/>
      </w:pPr>
      <w:r>
        <w:rPr>
          <w:rFonts w:ascii="Times New Roman" w:hAnsi="Times New Roman"/>
          <w:b/>
          <w:i w:val="0"/>
          <w:color w:val="333333"/>
          <w:sz w:val="22"/>
        </w:rPr>
        <w:t>Author</w:t>
      </w:r>
      <w:r>
        <w:rPr>
          <w:rFonts w:ascii="Times New Roman" w:hAnsi="Times New Roman"/>
          <w:b w:val="0"/>
          <w:i w:val="0"/>
          <w:color w:val="333333"/>
          <w:sz w:val="22"/>
        </w:rPr>
        <w:t>: Kasim Vali Dudekula (Independent Student Researcher, Andhra Pradesh, India)</w:t>
      </w:r>
    </w:p>
    <w:p>
      <w:pPr>
        <w:spacing w:line="360" w:lineRule="auto" w:after="200" w:before="0"/>
      </w:pPr>
      <w:r>
        <w:rPr>
          <w:rFonts w:ascii="Times New Roman" w:hAnsi="Times New Roman"/>
          <w:b/>
          <w:i w:val="0"/>
          <w:color w:val="333333"/>
          <w:sz w:val="22"/>
        </w:rPr>
        <w:t>Code Repository</w:t>
      </w:r>
      <w:r>
        <w:rPr>
          <w:rFonts w:ascii="Times New Roman" w:hAnsi="Times New Roman"/>
          <w:b w:val="0"/>
          <w:i w:val="0"/>
          <w:color w:val="333333"/>
          <w:sz w:val="22"/>
        </w:rPr>
        <w:t>: [https://github.com/KasimVali2207/Research_biomedical](https://github.com/KasimVali2207/Research_biomedical)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---</w:t>
      </w:r>
    </w:p>
    <w:p>
      <w:pPr>
        <w:keepNext/>
        <w:spacing w:before="360" w:after="160"/>
      </w:pPr>
      <w:r>
        <w:rPr>
          <w:rFonts w:ascii="Times New Roman" w:hAnsi="Times New Roman"/>
          <w:b/>
          <w:i w:val="0"/>
          <w:color w:val="333333"/>
          <w:sz w:val="28"/>
        </w:rPr>
        <w:t>Section S1: Clinical Agent Prompt Templates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All agents utilize </w:t>
      </w:r>
      <w:r>
        <w:rPr>
          <w:rFonts w:ascii="Times New Roman" w:hAnsi="Times New Roman"/>
          <w:b/>
          <w:i w:val="0"/>
          <w:color w:val="333333"/>
          <w:sz w:val="22"/>
        </w:rPr>
        <w:t>LLaMA 3.3 70B Versatile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 (via the Groq inference engine) with temperature set to $0.0$ to ensure deterministic clinical reasoning and minimize random variations in consensus formatting.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1. Biomarker Analyst Agent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Role</w:t>
      </w:r>
      <w:r>
        <w:rPr>
          <w:rFonts w:ascii="Times New Roman" w:hAnsi="Times New Roman"/>
          <w:b w:val="0"/>
          <w:i w:val="0"/>
          <w:color w:val="333333"/>
          <w:sz w:val="22"/>
        </w:rPr>
        <w:t>: Clinical Hematologist / Biochemist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Objective</w:t>
      </w:r>
      <w:r>
        <w:rPr>
          <w:rFonts w:ascii="Times New Roman" w:hAnsi="Times New Roman"/>
          <w:b w:val="0"/>
          <w:i w:val="0"/>
          <w:color w:val="333333"/>
          <w:sz w:val="22"/>
        </w:rPr>
        <w:t>: Interpret patient abnormal biomarker patterns.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Input Schema</w:t>
      </w:r>
      <w:r>
        <w:rPr>
          <w:rFonts w:ascii="Times New Roman" w:hAnsi="Times New Roman"/>
          <w:b w:val="0"/>
          <w:i w:val="0"/>
          <w:color w:val="333333"/>
          <w:sz w:val="22"/>
        </w:rPr>
        <w:t>: Age, sex, and list of biomarker values flagged as LOW or HIGH based on standard NHANES laboratory reference thresholds.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System &amp; User Prompt</w:t>
      </w:r>
      <w:r>
        <w:rPr>
          <w:rFonts w:ascii="Times New Roman" w:hAnsi="Times New Roman"/>
          <w:b w:val="0"/>
          <w:i w:val="0"/>
          <w:color w:val="333333"/>
          <w:sz w:val="22"/>
        </w:rPr>
        <w:t>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```text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You are a clinical hematologist.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Patient: age={age}, sex={gender}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Abnormal blood values: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{abnormal_biomarkers}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In 3 clinical sentences: What do these patterns suggest? Focus on cancer-relevant patterns only.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Reference specific values you see above.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2. Risk Stratifier Agent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Role</w:t>
      </w:r>
      <w:r>
        <w:rPr>
          <w:rFonts w:ascii="Times New Roman" w:hAnsi="Times New Roman"/>
          <w:b w:val="0"/>
          <w:i w:val="0"/>
          <w:color w:val="333333"/>
          <w:sz w:val="22"/>
        </w:rPr>
        <w:t>: Oncology Risk AI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Objective</w:t>
      </w:r>
      <w:r>
        <w:rPr>
          <w:rFonts w:ascii="Times New Roman" w:hAnsi="Times New Roman"/>
          <w:b w:val="0"/>
          <w:i w:val="0"/>
          <w:color w:val="333333"/>
          <w:sz w:val="22"/>
        </w:rPr>
        <w:t>: Contextualize the mathematical risk score output by the Gradient Boosting classifier.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Input Schema</w:t>
      </w:r>
      <w:r>
        <w:rPr>
          <w:rFonts w:ascii="Times New Roman" w:hAnsi="Times New Roman"/>
          <w:b w:val="0"/>
          <w:i w:val="0"/>
          <w:color w:val="333333"/>
          <w:sz w:val="22"/>
        </w:rPr>
        <w:t>: Patient predicted risk score (percentage), abnormal biomarker summary.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System &amp; User Prompt</w:t>
      </w:r>
      <w:r>
        <w:rPr>
          <w:rFonts w:ascii="Times New Roman" w:hAnsi="Times New Roman"/>
          <w:b w:val="0"/>
          <w:i w:val="0"/>
          <w:color w:val="333333"/>
          <w:sz w:val="22"/>
        </w:rPr>
        <w:t>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```text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You are an oncology risk AI.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Cancer risk score: {risk}%. Abnormal biomarkers: {abnormal_biomarkers}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2 sentences: Explain this risk score clinically. Which specific values drive this risk most?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Cite actual numeric values from the data above.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3. Differential Diagnoser Agent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Role</w:t>
      </w:r>
      <w:r>
        <w:rPr>
          <w:rFonts w:ascii="Times New Roman" w:hAnsi="Times New Roman"/>
          <w:b w:val="0"/>
          <w:i w:val="0"/>
          <w:color w:val="333333"/>
          <w:sz w:val="22"/>
        </w:rPr>
        <w:t>: Diagnostic Oncologist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Objective</w:t>
      </w:r>
      <w:r>
        <w:rPr>
          <w:rFonts w:ascii="Times New Roman" w:hAnsi="Times New Roman"/>
          <w:b w:val="0"/>
          <w:i w:val="0"/>
          <w:color w:val="333333"/>
          <w:sz w:val="22"/>
        </w:rPr>
        <w:t>: Rank the three primary solid cancer types (colorectal, lung, and liver) targeted by the classification model based on biomarker abnormalities.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Input Schema</w:t>
      </w:r>
      <w:r>
        <w:rPr>
          <w:rFonts w:ascii="Times New Roman" w:hAnsi="Times New Roman"/>
          <w:b w:val="0"/>
          <w:i w:val="0"/>
          <w:color w:val="333333"/>
          <w:sz w:val="22"/>
        </w:rPr>
        <w:t>: Patient age, sex, risk, and top abnormal biomarkers.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System &amp; User Prompt</w:t>
      </w:r>
      <w:r>
        <w:rPr>
          <w:rFonts w:ascii="Times New Roman" w:hAnsi="Times New Roman"/>
          <w:b w:val="0"/>
          <w:i w:val="0"/>
          <w:color w:val="333333"/>
          <w:sz w:val="22"/>
        </w:rPr>
        <w:t>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```text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You are a diagnostic oncologist.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Patient: age={age}, sex={gender}, risk={risk}%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Abnormal: {abnormal_biomarkers}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Rank by likelihood: 1)Colorectal 2)Lung 3)Liver cancer.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One specific reason per cancer type citing the exact biomarker values.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4. PubMed RAG Evidence Grounding Agent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Role</w:t>
      </w:r>
      <w:r>
        <w:rPr>
          <w:rFonts w:ascii="Times New Roman" w:hAnsi="Times New Roman"/>
          <w:b w:val="0"/>
          <w:i w:val="0"/>
          <w:color w:val="333333"/>
          <w:sz w:val="22"/>
        </w:rPr>
        <w:t>: Medical Research Librarian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Objective</w:t>
      </w:r>
      <w:r>
        <w:rPr>
          <w:rFonts w:ascii="Times New Roman" w:hAnsi="Times New Roman"/>
          <w:b w:val="0"/>
          <w:i w:val="0"/>
          <w:color w:val="333333"/>
          <w:sz w:val="22"/>
        </w:rPr>
        <w:t>: Link abnormal biomarker findings to published medical literature via simulated retrieval-augmented generation (RAG).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Input Schema</w:t>
      </w:r>
      <w:r>
        <w:rPr>
          <w:rFonts w:ascii="Times New Roman" w:hAnsi="Times New Roman"/>
          <w:b w:val="0"/>
          <w:i w:val="0"/>
          <w:color w:val="333333"/>
          <w:sz w:val="22"/>
        </w:rPr>
        <w:t>: Top abnormal biomarkers.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System &amp; User Prompt</w:t>
      </w:r>
      <w:r>
        <w:rPr>
          <w:rFonts w:ascii="Times New Roman" w:hAnsi="Times New Roman"/>
          <w:b w:val="0"/>
          <w:i w:val="0"/>
          <w:color w:val="333333"/>
          <w:sz w:val="22"/>
        </w:rPr>
        <w:t>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```text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Cite 2 peer-reviewed studies linking {top_features} abnormalities to cancer detection.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Format: [First Author Year Journal]: key finding with effect size.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Be specific. Do not invent citations.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5. Triage Coordinator Agent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Role</w:t>
      </w:r>
      <w:r>
        <w:rPr>
          <w:rFonts w:ascii="Times New Roman" w:hAnsi="Times New Roman"/>
          <w:b w:val="0"/>
          <w:i w:val="0"/>
          <w:color w:val="333333"/>
          <w:sz w:val="22"/>
        </w:rPr>
        <w:t>: Clinical Coordinator / Triage Director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Objective</w:t>
      </w:r>
      <w:r>
        <w:rPr>
          <w:rFonts w:ascii="Times New Roman" w:hAnsi="Times New Roman"/>
          <w:b w:val="0"/>
          <w:i w:val="0"/>
          <w:color w:val="333333"/>
          <w:sz w:val="22"/>
        </w:rPr>
        <w:t>: Synthesize the preceding agent narrative explanations and establish a formal clinical triage category.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Input Schema</w:t>
      </w:r>
      <w:r>
        <w:rPr>
          <w:rFonts w:ascii="Times New Roman" w:hAnsi="Times New Roman"/>
          <w:b w:val="0"/>
          <w:i w:val="0"/>
          <w:color w:val="333333"/>
          <w:sz w:val="22"/>
        </w:rPr>
        <w:t>: Patient risk score, Biomarker Analyst narrative summary, Differential Diagnoser summary.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System &amp; User Prompt</w:t>
      </w:r>
      <w:r>
        <w:rPr>
          <w:rFonts w:ascii="Times New Roman" w:hAnsi="Times New Roman"/>
          <w:b w:val="0"/>
          <w:i w:val="0"/>
          <w:color w:val="333333"/>
          <w:sz w:val="22"/>
        </w:rPr>
        <w:t>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```text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Clinical triage system. Cancer risk={risk}%.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Biomarker summary: {analyst_output}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Differential: {diagnoser_output}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Output EXACTLY: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TRIAGE: [URGENT/ROUTINE/MONITOR/LOW_RISK]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ACTION: [specific next step]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TIMEFRAME: [when]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RATIONALE: [one sentence]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---</w:t>
      </w:r>
    </w:p>
    <w:p>
      <w:pPr>
        <w:keepNext/>
        <w:spacing w:before="360" w:after="160"/>
      </w:pPr>
      <w:r>
        <w:rPr>
          <w:rFonts w:ascii="Times New Roman" w:hAnsi="Times New Roman"/>
          <w:b/>
          <w:i w:val="0"/>
          <w:color w:val="333333"/>
          <w:sz w:val="28"/>
        </w:rPr>
        <w:t>Section S2: Automated Hallucination Scorer Matching Logic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To ensure completely objective, reproducible evaluation of LLM clinical narratives, we designed and implemented a deterministic regex-based hallucination scoring algorithm.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Algorithmic Execution Steps: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1.  </w:t>
      </w:r>
      <w:r>
        <w:rPr>
          <w:rFonts w:ascii="Times New Roman" w:hAnsi="Times New Roman"/>
          <w:b/>
          <w:i w:val="0"/>
          <w:color w:val="333333"/>
          <w:sz w:val="22"/>
        </w:rPr>
        <w:t>Regex Extraction</w:t>
      </w:r>
      <w:r>
        <w:rPr>
          <w:rFonts w:ascii="Times New Roman" w:hAnsi="Times New Roman"/>
          <w:b w:val="0"/>
          <w:i w:val="0"/>
          <w:color w:val="333333"/>
          <w:sz w:val="22"/>
        </w:rPr>
        <w:t>: The algorithm scans the concatenated narrative outputs of Agents 1, 2, 3, and 5 and extracts all numeric floating-point values using the pattern: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$$\b\d+(?:\.\d+)?\b$$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2.  </w:t>
      </w:r>
      <w:r>
        <w:rPr>
          <w:rFonts w:ascii="Times New Roman" w:hAnsi="Times New Roman"/>
          <w:b/>
          <w:i w:val="0"/>
          <w:color w:val="333333"/>
          <w:sz w:val="22"/>
        </w:rPr>
        <w:t>Filter Mask</w:t>
      </w:r>
      <w:r>
        <w:rPr>
          <w:rFonts w:ascii="Times New Roman" w:hAnsi="Times New Roman"/>
          <w:b w:val="0"/>
          <w:i w:val="0"/>
          <w:color w:val="333333"/>
          <w:sz w:val="22"/>
        </w:rPr>
        <w:t>: To prevent false positives, we automatically filter out: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Calendar years (numbers falling in the range $1900 \le v \le 2100$).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Extremely small numbers used for formatting or indices ($v &lt; 0.001$).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3.  </w:t>
      </w:r>
      <w:r>
        <w:rPr>
          <w:rFonts w:ascii="Times New Roman" w:hAnsi="Times New Roman"/>
          <w:b/>
          <w:i w:val="0"/>
          <w:color w:val="333333"/>
          <w:sz w:val="22"/>
        </w:rPr>
        <w:t>Relative Distance Scoring</w:t>
      </w:r>
      <w:r>
        <w:rPr>
          <w:rFonts w:ascii="Times New Roman" w:hAnsi="Times New Roman"/>
          <w:b w:val="0"/>
          <w:i w:val="0"/>
          <w:color w:val="333333"/>
          <w:sz w:val="22"/>
        </w:rPr>
        <w:t>: For each extracted numeric value $v$, we calculate the relative distance against all actual abnormal biomarker values $g$ in the patient’s clinical record: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$$\text{Dist}(v, g) = \frac{|v - g|}{g}$$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4.  </w:t>
      </w:r>
      <w:r>
        <w:rPr>
          <w:rFonts w:ascii="Times New Roman" w:hAnsi="Times New Roman"/>
          <w:b/>
          <w:i w:val="0"/>
          <w:color w:val="333333"/>
          <w:sz w:val="22"/>
        </w:rPr>
        <w:t>Tolerance Check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: A numeric claim $v$ is classified as </w:t>
      </w:r>
      <w:r>
        <w:rPr>
          <w:rFonts w:ascii="Times New Roman" w:hAnsi="Times New Roman"/>
          <w:b/>
          <w:i w:val="0"/>
          <w:color w:val="333333"/>
          <w:sz w:val="22"/>
        </w:rPr>
        <w:t>grounded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 if there exists at least one clinical biomarker $g$ such that: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$$\text{Dist}(v, g) \le 0.15$$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Otherwise, the claim $v$ is classified as a </w:t>
      </w:r>
      <w:r>
        <w:rPr>
          <w:rFonts w:ascii="Times New Roman" w:hAnsi="Times New Roman"/>
          <w:b/>
          <w:i w:val="0"/>
          <w:color w:val="333333"/>
          <w:sz w:val="22"/>
        </w:rPr>
        <w:t>hallucination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. The $15\%$ relative tolerance accommodates standard clinical paraphrasing (e.g., a white blood cell count of $8.2 \times 10^3/\mu\text{L}$ described in prose as </w:t>
      </w:r>
      <w:r>
        <w:rPr>
          <w:rFonts w:ascii="Times New Roman" w:hAnsi="Times New Roman"/>
          <w:b w:val="0"/>
          <w:i/>
          <w:color w:val="333333"/>
          <w:sz w:val="22"/>
        </w:rPr>
        <w:t>"around 8"</w:t>
      </w:r>
      <w:r>
        <w:rPr>
          <w:rFonts w:ascii="Times New Roman" w:hAnsi="Times New Roman"/>
          <w:b w:val="0"/>
          <w:i w:val="0"/>
          <w:color w:val="333333"/>
          <w:sz w:val="22"/>
        </w:rPr>
        <w:t>).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5.  </w:t>
      </w:r>
      <w:r>
        <w:rPr>
          <w:rFonts w:ascii="Times New Roman" w:hAnsi="Times New Roman"/>
          <w:b/>
          <w:i w:val="0"/>
          <w:color w:val="333333"/>
          <w:sz w:val="22"/>
        </w:rPr>
        <w:t>Rate Calculation</w:t>
      </w:r>
      <w:r>
        <w:rPr>
          <w:rFonts w:ascii="Times New Roman" w:hAnsi="Times New Roman"/>
          <w:b w:val="0"/>
          <w:i w:val="0"/>
          <w:color w:val="333333"/>
          <w:sz w:val="22"/>
        </w:rPr>
        <w:t>: The final patient-level hallucination rate is defined as: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$$\text{Hallucination Rate} = \frac{N_{\text{hallucinated}}}{N_{\text{total extracted}}}$$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---</w:t>
      </w:r>
    </w:p>
    <w:p>
      <w:pPr>
        <w:keepNext/>
        <w:spacing w:before="360" w:after="160"/>
      </w:pPr>
      <w:r>
        <w:rPr>
          <w:rFonts w:ascii="Times New Roman" w:hAnsi="Times New Roman"/>
          <w:b/>
          <w:i w:val="0"/>
          <w:color w:val="333333"/>
          <w:sz w:val="28"/>
        </w:rPr>
        <w:t>Section S3: Supplementary Figure Registry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The following </w:t>
      </w:r>
      <w:r>
        <w:rPr>
          <w:rFonts w:ascii="Times New Roman" w:hAnsi="Times New Roman"/>
          <w:b/>
          <w:i w:val="0"/>
          <w:color w:val="333333"/>
          <w:sz w:val="22"/>
        </w:rPr>
        <w:t>34 supplementary figures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 are fully generated by the pipeline and contained in the `results/figures/` folder. They provide granular statistical details supporting the main findings: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6" w:space="0" w:color="888888"/>
          <w:left w:val="none"/>
          <w:right w:val="none"/>
          <w:insideH w:val="single" w:sz="4" w:space="0" w:color="E0E0E0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20"/>
              </w:rPr>
              <w:t>Figure ID</w:t>
            </w:r>
          </w:p>
        </w:tc>
        <w:tc>
          <w:tcPr>
            <w:tcW w:type="dxa" w:w="3120"/>
            <w:shd w:fill="F2F2F2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20"/>
              </w:rPr>
              <w:t>Filename</w:t>
            </w:r>
          </w:p>
        </w:tc>
        <w:tc>
          <w:tcPr>
            <w:tcW w:type="dxa" w:w="3120"/>
            <w:shd w:fill="F2F2F2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`fig03_auroc_bar.png`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Bar chart comparison of raw AUROC metrics across all 5 classical models.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`fig04_auprc_bar.png`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Bar chart comparison of raw AUPRC metrics under low prevalence.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S3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`fig05_all_metrics.png`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Grouped comparison of secondary metrics (F1-score, Brier score, specificity, sensitivity).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S4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`fig07_confusion_matrix.png`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Confusion matrix of the best model (Gradient Boosting) at $85\%$ target specificity.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S5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`fig10_cancer_types.png`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Cohort distribution plot showing self-reported lung (359), liver (69), and colorectal (57) cancer cases.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S6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`fig11_age_distribution.png`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Age pyramid and density distribution of the study population (n=16,762).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S7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`fig12_gender_distribution.png`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Gender distribution breakdown showing balanced demographics.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S8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`fig13_ethnicity_distribution.png`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Distribution of the 6 self-reported NHANES racial/ethnic categories in the study.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S9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`fig14_biomarker_boxplots.png`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Boxplots showing clinical distributions of all 31 biomarker features for cases vs. controls.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S10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`fig15_correlation_heatmap.png`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Pearson correlation matrix heatmap for all routine blood biomarkers.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S11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`fig16_missing_data.png`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Missingness pattern heat map (highlighting high missingness in CRP and Ferritin).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S12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`fig17_auroc_by_cancer_type.png`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Stratified AUROC showing high discriminative performance for specific cancer sites.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S13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`fig18_auroc_by_age.png`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Fairness analysis: AUROC stratified across 5 age groups (18–39, 40–54, 55–64, 65–74, 75+).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S14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`fig19_auroc_by_gender.png`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Fairness analysis: AUROC comparison for Male vs. Female subgroups.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S15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`fig20_auroc_by_ethnicity.png`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Fairness analysis: Model AUROC compared across all 6 ethnic subgroups.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S16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`fig21_auroc_by_cycle.png`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Fairness analysis: Model AUROC compared across survey cycles (2013-14, 2015-16, 2017-18).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S17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`fig22_threshold_analysis.png`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Plot mapping sensitivity, specificity, and F1-score as continuous functions of decision thresholds.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S18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`fig23_dataset_overview.png`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Cohort dashboard summarizing key statistics and missingness rates.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S19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`fig24_radar_chart.png`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Radar chart of all 5 classifiers across 5 key performance metrics.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S20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`fig26_triage_distribution.png`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Breakdown of multi-agent triage recommendation levels across pilot samples.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S21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`fig29_eas_per_patient.png`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Explanation Alignment Score (EAS) across individual pilot patients.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S22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`fig30_triage_distribution.png`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Triage recommendation level distribution across the n=100 evaluation.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S23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`fig31_hallucination_rate.png`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Distribution of LLM numeric hallucination rates across the n=100 scale evaluation.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S24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`fig32_risk_vs_eas.png`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Scatter plot correlating patient ML predicted risk score against Explanation Alignment Score.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S25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`fig33_novel_metrics_summary.png`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Boxplot summary of novel metric distributions (EAS and Hallucination Rates) across the cohort.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S26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`fig34_counterfactual.png`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Patient explanation walk-through showing risk factors, protective factors, and agent consensus.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S27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`fig35_eas_by_cancer_type.png`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Analysis of pilot alignment scores (EAS) by specific cancer subgroups.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333333"/>
                <w:sz w:val="19"/>
              </w:rPr>
              <w:t>Fig. S28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`results/figures/fig38_shap_vs_lime.png`</w:t>
            </w:r>
          </w:p>
        </w:tc>
        <w:tc>
          <w:tcPr>
            <w:tcW w:type="dxa" w:w="3120"/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</w:rPr>
              <w:t>Cross-method explainer validation comparing EAS scores calculated with SHAP, LIME, and Permutation.</w:t>
            </w:r>
          </w:p>
        </w:tc>
      </w:tr>
    </w:tbl>
    <w:p>
      <w:pPr>
        <w:spacing w:before="120"/>
      </w:pP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---</w:t>
      </w:r>
    </w:p>
    <w:p>
      <w:pPr>
        <w:keepNext/>
        <w:spacing w:before="360" w:after="160"/>
      </w:pPr>
      <w:r>
        <w:rPr>
          <w:rFonts w:ascii="Times New Roman" w:hAnsi="Times New Roman"/>
          <w:b/>
          <w:i w:val="0"/>
          <w:color w:val="333333"/>
          <w:sz w:val="28"/>
        </w:rPr>
        <w:t>Section S4: Patient Consensus Trace (Example Case)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Below is a complete, unedited narrative output trace generated by the multi-agent consensus pipeline for a Representative Patient Case: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Clinical Summary</w:t>
      </w:r>
      <w:r>
        <w:rPr>
          <w:rFonts w:ascii="Times New Roman" w:hAnsi="Times New Roman"/>
          <w:b w:val="0"/>
          <w:i w:val="0"/>
          <w:color w:val="333333"/>
          <w:sz w:val="22"/>
        </w:rPr>
        <w:t>: 68-year-old Male, ML Predicted Risk: $45.6\%$ (URGENT Triage category).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Abnormal Biomarkers</w:t>
      </w:r>
      <w:r>
        <w:rPr>
          <w:rFonts w:ascii="Times New Roman" w:hAnsi="Times New Roman"/>
          <w:b w:val="0"/>
          <w:i w:val="0"/>
          <w:color w:val="333333"/>
          <w:sz w:val="22"/>
        </w:rPr>
        <w:t>: Hemoglobin = 10.2 g/dL (LOW), RDW = 16.5% (HIGH), Ferritin = 8.5 ng/mL (LOW), Albumin = 3.1 g/dL (LOW).</w:t>
      </w:r>
    </w:p>
    <w:p>
      <w:pPr>
        <w:keepNext/>
        <w:spacing w:before="240" w:after="120"/>
      </w:pPr>
      <w:r>
        <w:rPr>
          <w:rFonts w:ascii="Times New Roman" w:hAnsi="Times New Roman"/>
          <w:b/>
          <w:i w:val="0"/>
          <w:color w:val="333333"/>
          <w:sz w:val="24"/>
        </w:rPr>
        <w:t>Agent Narrative Outputs: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Agent 1 (Biomarker Analyst)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: </w:t>
      </w:r>
      <w:r>
        <w:rPr>
          <w:rFonts w:ascii="Times New Roman" w:hAnsi="Times New Roman"/>
          <w:b w:val="0"/>
          <w:i/>
          <w:color w:val="333333"/>
          <w:sz w:val="22"/>
        </w:rPr>
        <w:t>"The patient's blood profile is highly suggestive of a severe microcytic anemia, as evidenced by a low Hemoglobin of 10.2 g/dL and an elevated RDW of 16.5%. The critically low Ferritin of 8.5 ng/mL points to severe iron deficiency, which in an older male is highly suspicious for occult gastrointestinal blood loss secondary to malignancy. The concomitant hypoalbuminemia (Albumin 3.1 g/dL) suggests nutritional depletion or a chronic inflammatory state."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Agent 2 (Risk Stratifier)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: </w:t>
      </w:r>
      <w:r>
        <w:rPr>
          <w:rFonts w:ascii="Times New Roman" w:hAnsi="Times New Roman"/>
          <w:b w:val="0"/>
          <w:i/>
          <w:color w:val="333333"/>
          <w:sz w:val="22"/>
        </w:rPr>
        <w:t>"The patient's mathematical risk score of 45.6% represents a highly significant deviation from the population baseline risk. This risk is primarily driven by the severe microcytic anemia pattern, notably the combination of Hemoglobin (10.2 g/dL) and Ferritin (8.5 ng/mL) which represent values in the bottom 5th percentile of the NHANES population."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Agent 3 (Differential Diagnoser)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: </w:t>
      </w:r>
      <w:r>
        <w:rPr>
          <w:rFonts w:ascii="Times New Roman" w:hAnsi="Times New Roman"/>
          <w:b w:val="0"/>
          <w:i/>
          <w:color w:val="333333"/>
          <w:sz w:val="22"/>
        </w:rPr>
        <w:t>"1) Colorectal cancer: The combination of iron deficiency anemia in a 68-year-old male is a classic presentation for colorectal cancer, driven by chronic tumor bleeding. 2) Liver cancer: Hypoalbuminemia of 3.1 g/dL suggests impaired hepatic protein synthesis or chronic inflammation, which can occur in hepatocellular carcinoma, though less specific than GI bleeding signs. 3) Lung cancer: Possible, but the biomarker pattern is dominated by GI/hepatic findings rather than respiratory inflammatory patterns."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Agent 4 (PubMed RAG Grounder)</w:t>
      </w:r>
      <w:r>
        <w:rPr>
          <w:rFonts w:ascii="Times New Roman" w:hAnsi="Times New Roman"/>
          <w:b w:val="0"/>
          <w:i w:val="0"/>
          <w:color w:val="333333"/>
          <w:sz w:val="22"/>
        </w:rPr>
        <w:t xml:space="preserve">: </w:t>
      </w:r>
      <w:r>
        <w:rPr>
          <w:rFonts w:ascii="Times New Roman" w:hAnsi="Times New Roman"/>
          <w:b w:val="0"/>
          <w:i/>
          <w:color w:val="333333"/>
          <w:sz w:val="22"/>
        </w:rPr>
        <w:t>"1. [Proctor 2012 BMC Cancer]: Outlined that systemic inflammation (elevated RDW, low albumin) serves as a key discriminative marker in solid tumors with a hazard ratio of 1.8. 2. [Ludwig 2012 Oncologist]: Confirmed that microcytic iron deficiency anemia (Hemoglobin &lt; 11 g/dL) is present in up to 40% of newly diagnosed colorectal cancer cases due to chronic mucosal blood loss."</w:t>
      </w:r>
    </w:p>
    <w:p>
      <w:pPr>
        <w:pStyle w:val="ListBullet"/>
        <w:spacing w:before="40" w:after="40"/>
      </w:pPr>
      <w:r>
        <w:rPr>
          <w:rFonts w:ascii="Times New Roman" w:hAnsi="Times New Roman"/>
          <w:b w:val="0"/>
          <w:i w:val="0"/>
          <w:color w:val="333333"/>
          <w:sz w:val="22"/>
        </w:rPr>
        <w:t xml:space="preserve">  </w:t>
      </w:r>
      <w:r>
        <w:rPr>
          <w:rFonts w:ascii="Times New Roman" w:hAnsi="Times New Roman"/>
          <w:b/>
          <w:i w:val="0"/>
          <w:color w:val="333333"/>
          <w:sz w:val="22"/>
        </w:rPr>
        <w:t>Agent 5 (Triage Coordinator)</w:t>
      </w:r>
      <w:r>
        <w:rPr>
          <w:rFonts w:ascii="Times New Roman" w:hAnsi="Times New Roman"/>
          <w:b w:val="0"/>
          <w:i w:val="0"/>
          <w:color w:val="333333"/>
          <w:sz w:val="22"/>
        </w:rPr>
        <w:t>: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```text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TRIAGE: URGENT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ACTION: Referral for diagnostic colonoscopy and abdominal ultrasound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TIMEFRAME: Within 14 days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RATIONALE: Older male patient presenting with high-risk mathematical score of 45.6% accompanied by clinical evidence of microcytic iron deficiency anemia and hypoalbuminemia, highly indicative of occult gastrointestinal malignancy.</w:t>
      </w:r>
    </w:p>
    <w:p>
      <w:pPr>
        <w:spacing w:line="360" w:lineRule="auto" w:after="200" w:before="0"/>
      </w:pPr>
      <w:r>
        <w:rPr>
          <w:rFonts w:ascii="Times New Roman" w:hAnsi="Times New Roman"/>
          <w:b w:val="0"/>
          <w:i w:val="0"/>
          <w:color w:val="333333"/>
          <w:sz w:val="22"/>
        </w:rPr>
        <w:t>```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