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Agents Illustrated with a Robot Vacuum Cleaner</w:t>
      </w:r>
    </w:p>
    <w:p>
      <w:pPr>
        <w:pStyle w:val="Heading1"/>
      </w:pPr>
      <w:r>
        <w:t>Introduction</w:t>
      </w:r>
    </w:p>
    <w:p>
      <w:r>
        <w:t>Artificial intelligence (AI) agents are systems that perceive their environment through sensors, decide on actions using an internal program, and act upon that environment via effectors. This document explains the concept of AI agents by using a robot vacuum cleaner—a familiar, real‑world example that demonstrates how different agent architectures operate and evolve.</w:t>
      </w:r>
    </w:p>
    <w:p>
      <w:pPr>
        <w:pStyle w:val="Heading1"/>
      </w:pPr>
      <w:r>
        <w:t>How the Robot Vacuum Works</w:t>
      </w:r>
    </w:p>
    <w:p>
      <w:r>
        <w:t>A robot vacuum perceives its surroundings with sensors such as LiDAR, infrared, bump and cliff detectors, and dirt sensors. It builds an internal map of the floor plan, tracks which areas have been cleaned, and monitors its battery level. Based on this information, the vacuum issues commands to its wheels, brush motors, and suction system to navigate, clean, and return to its charging dock when necessary.</w:t>
      </w:r>
    </w:p>
    <w:p>
      <w:pPr>
        <w:pStyle w:val="Heading1"/>
      </w:pPr>
      <w:r>
        <w:t>Types of AI Agents in the Vacuum</w:t>
      </w:r>
    </w:p>
    <w:p>
      <w:r>
        <w:t>1. **Simple Reflex Agent** – Reacts only to immediate sensor input (e.g., "if bump sensor triggers, reverse and turn"). 2. **Model‑Based Reflex Agent** – Maintains an internal occupancy grid to avoid revisiting cleaned spots. 3. **Goal‑Based Agent** – Plans a path that ensures every reachable cell is marked as cleaned. 4. **Utility‑Based Agent** – Optimizes a utility function that balances cleanliness, battery consumption, time, and collisions. 5. **Learning Agent** – Improves its map accuracy, navigation policy, and utility weights over multiple cleaning cycles through reinforcement or supervised learning.</w:t>
      </w:r>
    </w:p>
    <w:p>
      <w:pPr>
        <w:pStyle w:val="Heading1"/>
      </w:pPr>
      <w:r>
        <w:t>Agent Loop in Practice</w:t>
      </w:r>
    </w:p>
    <w:p>
      <w:r>
        <w:t>The vacuum continuously repeats the perception‑decision‑action cycle: (1) Sensors collect data; (2) The agent program updates the internal model and evaluates possible actions; (3) The highest‑valued action is sent to the actuators; (4) Optional learning updates adjust the model or policy based on the outcome. This loop runs many times per second, giving the appearance of autonomous, intelligent behavior.</w:t>
      </w:r>
    </w:p>
    <w:p>
      <w:pPr>
        <w:pStyle w:val="Heading1"/>
      </w:pPr>
      <w:r>
        <w:t>Benefits of the Robot Vacuum Example</w:t>
      </w:r>
    </w:p>
    <w:p>
      <w:r>
        <w:t>The robot vacuum provides a concrete, observable scenario with clear goals (clean the floor) and measurable performance metrics (coverage percentage, battery usage, collision count). It showcases multiple sensor modalities, safety constraints, and a natural progression from simple rule‑based behavior to sophisticated learning‑based adaptation, making it an ideal teaching tool for AI agent concepts.</w:t>
      </w:r>
    </w:p>
    <w:p>
      <w:pPr>
        <w:pStyle w:val="Heading1"/>
      </w:pPr>
      <w:r>
        <w:t>Conclusion</w:t>
      </w:r>
    </w:p>
    <w:p>
      <w:r>
        <w:t>By examining a robot vacuum cleaner, we see how AI agents integrate perception, reasoning, and action to achieve defined objectives. The example illustrates the spectrum of agent designs—from reflexive to learning agents—and highlights how performance measures guide behavior improvement. Understanding this real‑world embodiment helps demystify AI agents and underscores their relevance across many autonomous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