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 xml:space="preserve">Общий отчёт о результатах тестирования мобильного приложения </w:t>
      </w:r>
      <w:r>
        <w:rPr>
          <w:lang w:val="en-US"/>
        </w:rPr>
        <w:t>Shopping List</w:t>
      </w:r>
    </w:p>
    <w:p>
      <w:pPr>
        <w:pStyle w:val="BodyText"/>
        <w:bidi w:val="0"/>
        <w:ind w:hanging="0" w:start="0" w:end="0"/>
        <w:jc w:val="start"/>
        <w:rPr/>
      </w:pPr>
      <w:r>
        <w:rPr>
          <w:rStyle w:val="Strong"/>
        </w:rPr>
        <w:t>Проект:</w:t>
      </w:r>
      <w:r>
        <w:rPr/>
        <w:t> </w:t>
      </w:r>
      <w:r>
        <w:rPr>
          <w:lang w:val="en-US"/>
        </w:rPr>
        <w:t>Shopping list.</w:t>
      </w:r>
      <w:r>
        <w:rPr/>
        <w:br/>
      </w:r>
      <w:r>
        <w:rPr>
          <w:rStyle w:val="Strong"/>
        </w:rPr>
        <w:t>Версия приложения:</w:t>
      </w:r>
      <w:r>
        <w:rPr/>
        <w:t> </w:t>
      </w:r>
      <w:r>
        <w:rPr>
          <w:lang w:val="en-US"/>
        </w:rPr>
        <w:t>1.0</w:t>
      </w:r>
      <w:r>
        <w:rPr/>
        <w:br/>
      </w:r>
      <w:r>
        <w:rPr>
          <w:rStyle w:val="Strong"/>
        </w:rPr>
        <w:t>Платформа:</w:t>
      </w:r>
      <w:r>
        <w:rPr/>
        <w:t> Android.</w:t>
        <w:br/>
      </w:r>
      <w:r>
        <w:rPr>
          <w:rStyle w:val="Strong"/>
        </w:rPr>
        <w:t>Дата тестирования:</w:t>
      </w:r>
      <w:r>
        <w:rPr/>
        <w:t> </w:t>
      </w:r>
      <w:r>
        <w:rPr>
          <w:lang w:val="en-US"/>
        </w:rPr>
        <w:t>04.02.2025</w:t>
      </w:r>
      <w:r>
        <w:rPr/>
        <w:t xml:space="preserve"> — </w:t>
      </w:r>
      <w:r>
        <w:rPr>
          <w:lang w:val="en-US"/>
        </w:rPr>
        <w:t>09.02.2025.</w:t>
      </w:r>
      <w:r>
        <w:rPr/>
        <w:br/>
      </w:r>
      <w:r>
        <w:rPr>
          <w:rStyle w:val="Strong"/>
        </w:rPr>
        <w:t>Тестировщик:</w:t>
      </w:r>
      <w:r>
        <w:rPr/>
        <w:t> </w:t>
      </w:r>
      <w:r>
        <w:rPr/>
        <w:t>Дмитрий Демчило.</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1. Общая информация</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spacing w:before="0" w:after="0"/>
        <w:ind w:hanging="283" w:start="709" w:end="0"/>
        <w:jc w:val="start"/>
        <w:rPr/>
      </w:pPr>
      <w:r>
        <w:rPr>
          <w:rStyle w:val="Strong"/>
        </w:rPr>
        <w:t>Цель тестирования:</w:t>
      </w:r>
      <w:r>
        <w:rPr/>
        <w:t> </w:t>
      </w:r>
      <w:r>
        <w:rPr/>
        <w:t>В данном тестировании мы преследовали цели проверки основных функций приложения, выявления критических и блокирующих ошибок.</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spacing w:before="0" w:after="0"/>
        <w:ind w:hanging="283" w:start="709" w:end="0"/>
        <w:jc w:val="start"/>
        <w:rPr/>
      </w:pPr>
      <w:r>
        <w:rPr>
          <w:rStyle w:val="Strong"/>
        </w:rPr>
        <w:t>Общее количество тест-кейсов:</w:t>
      </w:r>
      <w:r>
        <w:rPr/>
        <w:t> </w:t>
      </w:r>
      <w:r>
        <w:rPr/>
        <w:t>15.</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spacing w:before="0" w:after="0"/>
        <w:ind w:hanging="283" w:start="709" w:end="0"/>
        <w:jc w:val="start"/>
        <w:rPr/>
      </w:pPr>
      <w:r>
        <w:rPr>
          <w:rStyle w:val="Strong"/>
        </w:rPr>
        <w:t>Процент прохождения тест-кейсов:</w:t>
      </w:r>
      <w:r>
        <w:rPr/>
        <w:t> </w:t>
      </w:r>
      <w:r>
        <w:rPr/>
        <w:t>74,37</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Количество обнаруженных дефектов:</w:t>
      </w:r>
      <w:r>
        <w:rPr/>
        <w:t> </w:t>
      </w:r>
      <w:r>
        <w:rPr/>
        <w:t>6.</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b/>
          <w:bCs/>
        </w:rPr>
        <w:t>Количество дефектов, найденных при исследовательском тестировании:</w:t>
      </w:r>
      <w:r>
        <w:rPr/>
        <w:t xml:space="preserve"> 4</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2. Результаты тестирования по категориям</w:t>
      </w:r>
    </w:p>
    <w:tbl>
      <w:tblPr>
        <w:tblW w:w="9638" w:type="dxa"/>
        <w:jc w:val="start"/>
        <w:tblInd w:w="0" w:type="dxa"/>
        <w:tblLayout w:type="fixed"/>
        <w:tblCellMar>
          <w:top w:w="28" w:type="dxa"/>
          <w:start w:w="28" w:type="dxa"/>
          <w:bottom w:w="28" w:type="dxa"/>
          <w:end w:w="28" w:type="dxa"/>
        </w:tblCellMar>
      </w:tblPr>
      <w:tblGrid>
        <w:gridCol w:w="3037"/>
        <w:gridCol w:w="2105"/>
        <w:gridCol w:w="1171"/>
        <w:gridCol w:w="1317"/>
        <w:gridCol w:w="2008"/>
      </w:tblGrid>
      <w:tr>
        <w:trPr>
          <w:tblHeader w:val="true"/>
        </w:trPr>
        <w:tc>
          <w:tcPr>
            <w:tcW w:w="3037"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Категория тестирования</w:t>
            </w:r>
          </w:p>
        </w:tc>
        <w:tc>
          <w:tcPr>
            <w:tcW w:w="2105"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Количество тест-кейсов</w:t>
            </w:r>
          </w:p>
        </w:tc>
        <w:tc>
          <w:tcPr>
            <w:tcW w:w="1171"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Пройдено</w:t>
            </w:r>
          </w:p>
        </w:tc>
        <w:tc>
          <w:tcPr>
            <w:tcW w:w="1317"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Не пройдено</w:t>
            </w:r>
          </w:p>
        </w:tc>
        <w:tc>
          <w:tcPr>
            <w:tcW w:w="2008"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Количество дефектов</w:t>
            </w:r>
          </w:p>
        </w:tc>
      </w:tr>
      <w:tr>
        <w:trPr/>
        <w:tc>
          <w:tcPr>
            <w:tcW w:w="3037"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Функциональное тестирование</w:t>
            </w:r>
          </w:p>
        </w:tc>
        <w:tc>
          <w:tcPr>
            <w:tcW w:w="2105"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15</w:t>
            </w:r>
          </w:p>
        </w:tc>
        <w:tc>
          <w:tcPr>
            <w:tcW w:w="1171"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11</w:t>
            </w:r>
          </w:p>
        </w:tc>
        <w:tc>
          <w:tcPr>
            <w:tcW w:w="1317"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4</w:t>
            </w:r>
          </w:p>
        </w:tc>
        <w:tc>
          <w:tcPr>
            <w:tcW w:w="2008"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10</w:t>
            </w:r>
          </w:p>
        </w:tc>
      </w:tr>
    </w:tbl>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3. Приоритет дефектов</w:t>
      </w:r>
    </w:p>
    <w:tbl>
      <w:tblPr>
        <w:tblW w:w="9482" w:type="dxa"/>
        <w:jc w:val="start"/>
        <w:tblInd w:w="0" w:type="dxa"/>
        <w:tblLayout w:type="fixed"/>
        <w:tblCellMar>
          <w:top w:w="28" w:type="dxa"/>
          <w:start w:w="28" w:type="dxa"/>
          <w:bottom w:w="28" w:type="dxa"/>
          <w:end w:w="28" w:type="dxa"/>
        </w:tblCellMar>
      </w:tblPr>
      <w:tblGrid>
        <w:gridCol w:w="1476"/>
        <w:gridCol w:w="1375"/>
        <w:gridCol w:w="6631"/>
      </w:tblGrid>
      <w:tr>
        <w:trPr>
          <w:tblHeader w:val="true"/>
        </w:trPr>
        <w:tc>
          <w:tcPr>
            <w:tcW w:w="1476"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Приоритет</w:t>
            </w:r>
          </w:p>
        </w:tc>
        <w:tc>
          <w:tcPr>
            <w:tcW w:w="1375"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Количество</w:t>
            </w:r>
          </w:p>
        </w:tc>
        <w:tc>
          <w:tcPr>
            <w:tcW w:w="6631" w:type="dxa"/>
            <w:tcBorders>
              <w:top w:val="single" w:sz="2" w:space="0" w:color="E5E7EB"/>
              <w:start w:val="single" w:sz="2" w:space="0" w:color="E5E7EB"/>
              <w:bottom w:val="single" w:sz="2" w:space="0" w:color="E5E7EB"/>
              <w:end w:val="single" w:sz="2" w:space="0" w:color="E5E7EB"/>
            </w:tcBorders>
            <w:vAlign w:val="center"/>
          </w:tcPr>
          <w:p>
            <w:pPr>
              <w:pStyle w:val="Style17"/>
              <w:bidi w:val="0"/>
              <w:ind w:hanging="0" w:start="0" w:end="0"/>
              <w:rPr/>
            </w:pPr>
            <w:r>
              <w:rPr/>
              <w:t>Описание</w:t>
            </w:r>
          </w:p>
        </w:tc>
      </w:tr>
      <w:tr>
        <w:trPr/>
        <w:tc>
          <w:tcPr>
            <w:tcW w:w="1476"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Критический</w:t>
            </w:r>
          </w:p>
        </w:tc>
        <w:tc>
          <w:tcPr>
            <w:tcW w:w="1375"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0</w:t>
            </w:r>
          </w:p>
        </w:tc>
        <w:tc>
          <w:tcPr>
            <w:tcW w:w="6631"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Блокирует работу приложения или важную функциональность.</w:t>
            </w:r>
          </w:p>
        </w:tc>
      </w:tr>
      <w:tr>
        <w:trPr/>
        <w:tc>
          <w:tcPr>
            <w:tcW w:w="1476"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Высокий</w:t>
            </w:r>
          </w:p>
        </w:tc>
        <w:tc>
          <w:tcPr>
            <w:tcW w:w="1375"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1</w:t>
            </w:r>
          </w:p>
        </w:tc>
        <w:tc>
          <w:tcPr>
            <w:tcW w:w="6631"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Значительно ухудшает использование приложения.</w:t>
            </w:r>
          </w:p>
        </w:tc>
      </w:tr>
      <w:tr>
        <w:trPr/>
        <w:tc>
          <w:tcPr>
            <w:tcW w:w="1476"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Средний</w:t>
            </w:r>
          </w:p>
        </w:tc>
        <w:tc>
          <w:tcPr>
            <w:tcW w:w="1375"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9</w:t>
            </w:r>
          </w:p>
        </w:tc>
        <w:tc>
          <w:tcPr>
            <w:tcW w:w="6631"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Вызывает незначительные неудобства, но не блокирует работу.</w:t>
            </w:r>
          </w:p>
        </w:tc>
      </w:tr>
      <w:tr>
        <w:trPr/>
        <w:tc>
          <w:tcPr>
            <w:tcW w:w="1476"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start"/>
              <w:rPr/>
            </w:pPr>
            <w:r>
              <w:rPr/>
              <w:t>Низкий</w:t>
            </w:r>
          </w:p>
        </w:tc>
        <w:tc>
          <w:tcPr>
            <w:tcW w:w="1375" w:type="dxa"/>
            <w:tcBorders>
              <w:top w:val="single" w:sz="6" w:space="0" w:color="000000"/>
              <w:bottom w:val="single" w:sz="6" w:space="0" w:color="000000"/>
              <w:end w:val="single" w:sz="6" w:space="0" w:color="000000"/>
            </w:tcBorders>
            <w:tcMar>
              <w:start w:w="0" w:type="dxa"/>
            </w:tcMar>
            <w:vAlign w:val="center"/>
          </w:tcPr>
          <w:p>
            <w:pPr>
              <w:pStyle w:val="Style16"/>
              <w:bidi w:val="0"/>
              <w:ind w:hanging="0" w:start="0" w:end="0"/>
              <w:jc w:val="center"/>
              <w:rPr/>
            </w:pPr>
            <w:r>
              <w:rPr/>
              <w:t>0</w:t>
            </w:r>
          </w:p>
        </w:tc>
        <w:tc>
          <w:tcPr>
            <w:tcW w:w="6631" w:type="dxa"/>
            <w:tcBorders>
              <w:top w:val="single" w:sz="6" w:space="0" w:color="000000"/>
              <w:bottom w:val="single" w:sz="6" w:space="0" w:color="000000"/>
              <w:end w:val="single" w:sz="6" w:space="0" w:color="000000"/>
            </w:tcBorders>
            <w:tcMar>
              <w:start w:w="0" w:type="dxa"/>
            </w:tcMar>
            <w:vAlign w:val="center"/>
          </w:tcPr>
          <w:p>
            <w:pPr>
              <w:pStyle w:val="Style16"/>
              <w:widowControl w:val="false"/>
              <w:suppressLineNumbers/>
              <w:bidi w:val="0"/>
              <w:jc w:val="start"/>
              <w:rPr/>
            </w:pPr>
            <w:r>
              <w:rPr/>
              <w:t>Косметические дефекты или мелкие недочеты.</w:t>
            </w:r>
          </w:p>
        </w:tc>
      </w:tr>
    </w:tbl>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4. Основные выводы</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spacing w:before="0" w:after="0"/>
        <w:ind w:hanging="283" w:start="709" w:end="0"/>
        <w:jc w:val="start"/>
        <w:rPr/>
      </w:pPr>
      <w:r>
        <w:rPr>
          <w:rStyle w:val="Strong"/>
        </w:rPr>
        <w:t>Ключевые обнаруженные проблемы:</w:t>
      </w:r>
      <w:r>
        <w:rPr/>
        <w:t> </w:t>
      </w:r>
      <w:r>
        <w:rPr/>
        <w:t xml:space="preserve">Наиболее количество багов было обнаружено при тестировании редактирования задач, но стоит также отметить, что большинство из них были достаточно однотипными (после редактирования все валидационные правила не действовали). Также большое количество багов появилось при добавлении задач, и здесь варианты были более разнообразными. Отмечены ошибки и в остальных модулях, но их куда как меньше. Также стоит обратить внимание на работу приложения при изменении ориентации экрана: были замечены проблемы в функционале при смене ориентации. </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spacing w:before="0" w:after="0"/>
        <w:ind w:hanging="283" w:start="709" w:end="0"/>
        <w:jc w:val="start"/>
        <w:rPr/>
      </w:pPr>
      <w:r>
        <w:rPr>
          <w:rStyle w:val="Strong"/>
        </w:rPr>
        <w:t>Оценка стабильности приложения:</w:t>
      </w:r>
      <w:r>
        <w:rPr/>
        <w:t> </w:t>
      </w:r>
      <w:r>
        <w:rPr/>
        <w:t>Стабильность приложения в целом хорошая, падений было мало. Все найденные нами варианты были задокументированы и отправлены на рассмотрение разработчикам.</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Рекомендации:</w:t>
      </w:r>
      <w:r>
        <w:rPr/>
        <w:t> </w:t>
      </w:r>
      <w:r>
        <w:rPr/>
        <w:t xml:space="preserve">Мы бы пока не рекомендовали приложение к выпуску, потому что оно требует доработки и исправления найденных нами багов, среди которых были достаточно серьезные. </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5. Статус готовности</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spacing w:before="0" w:after="0"/>
        <w:ind w:hanging="283" w:start="709" w:end="0"/>
        <w:jc w:val="start"/>
        <w:rPr>
          <w:bdr w:val="single" w:sz="2" w:space="1" w:color="E5E7EB"/>
        </w:rPr>
      </w:pPr>
      <w:r>
        <w:rPr>
          <w:rStyle w:val="Strong"/>
        </w:rPr>
        <w:t>Общий статус приложения:</w:t>
      </w:r>
      <w:r>
        <w:rPr/>
        <w:t> </w:t>
      </w:r>
      <w:r>
        <w:rPr/>
        <w:t>Приложение</w:t>
      </w:r>
      <w:r>
        <w:rPr/>
        <w:t xml:space="preserve"> </w:t>
      </w:r>
      <w:r>
        <w:rPr/>
        <w:t>т</w:t>
      </w:r>
      <w:r>
        <w:rPr/>
        <w:t xml:space="preserve">ребует доработки  </w:t>
      </w:r>
      <w:r>
        <w:rPr/>
        <w:t xml:space="preserve">и </w:t>
      </w:r>
      <w:r>
        <w:rPr>
          <w:lang w:val="ru-RU"/>
        </w:rPr>
        <w:t>еще н</w:t>
      </w:r>
      <w:r>
        <w:rPr/>
        <w:t>е готово к выпуску.</w:t>
      </w:r>
    </w:p>
    <w:p>
      <w:pPr>
        <w:pStyle w:val="BodyText"/>
        <w:bidi w:val="0"/>
        <w:spacing w:before="0" w:after="140"/>
        <w:ind w:hanging="0" w:start="0" w:end="0"/>
        <w:jc w:val="start"/>
        <w:rPr/>
      </w:pPr>
      <w:r>
        <w:rPr>
          <w:rStyle w:val="Strong"/>
        </w:rPr>
        <w:t>Подпись:</w:t>
      </w: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02"/>
    <w:family w:val="auto"/>
    <w:pitch w:val="default"/>
  </w:font>
  <w:font w:name="Liberation Sans">
    <w:altName w:val="Arial"/>
    <w:charset w:val="cc" w:characterSet="windows-125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Heading2">
    <w:name w:val="Heading 2"/>
    <w:basedOn w:val="Style14"/>
    <w:next w:val="BodyText"/>
    <w:qFormat/>
    <w:p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Style13">
    <w:name w:val="Маркеры"/>
    <w:qFormat/>
    <w:rPr>
      <w:rFonts w:ascii="OpenSymbol" w:hAnsi="OpenSymbol" w:eastAsia="OpenSymbol" w:cs="OpenSymbol"/>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LibreOffice/7.6.4.1$Windows_X86_64 LibreOffice_project/e19e193f88cd6c0525a17fb7a176ed8e6a3e2aa1</Application>
  <AppVersion>15.0000</AppVersion>
  <Pages>2</Pages>
  <Words>267</Words>
  <Characters>1834</Characters>
  <CharactersWithSpaces>2055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2025-02-09T22:41:48Z</dcterms:created>
  <dc:creator/>
  <dc:description/>
  <dc:language>ru-RU</dc:language>
  <cp:lastModifiedBy/>
  <dcterms:modified xsi:type="dcterms:W3CDTF">2025-02-09T23:08:40Z</dcterms:modified>
  <cp:revision>1</cp:revision>
  <dc:subject/>
  <dc:title/>
</cp:coreProperties>
</file>