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2B5F4" w14:textId="77777777" w:rsidR="008D11E6" w:rsidRPr="00AE6923" w:rsidRDefault="00AE6923">
      <w:pPr>
        <w:spacing w:after="100"/>
        <w:jc w:val="center"/>
        <w:rPr>
          <w:rFonts w:ascii="Calibri" w:hAnsi="Calibri" w:cs="Calibri"/>
          <w:color w:val="002060"/>
        </w:rPr>
      </w:pPr>
      <w:r w:rsidRPr="00AE6923">
        <w:rPr>
          <w:rFonts w:ascii="Calibri" w:hAnsi="Calibri" w:cs="Calibri"/>
          <w:b/>
          <w:bCs/>
          <w:color w:val="002060"/>
          <w:sz w:val="44"/>
          <w:szCs w:val="44"/>
        </w:rPr>
        <w:t>PROJET ALPHA</w:t>
      </w:r>
    </w:p>
    <w:p w14:paraId="12BB384C" w14:textId="77777777" w:rsidR="008D11E6" w:rsidRPr="00AE6923" w:rsidRDefault="00AE6923">
      <w:pPr>
        <w:spacing w:after="600"/>
        <w:jc w:val="center"/>
        <w:rPr>
          <w:rFonts w:ascii="Calibri" w:hAnsi="Calibri" w:cs="Calibri"/>
          <w:color w:val="002060"/>
        </w:rPr>
      </w:pPr>
      <w:r w:rsidRPr="00AE6923">
        <w:rPr>
          <w:rFonts w:ascii="Calibri" w:hAnsi="Calibri" w:cs="Calibri"/>
          <w:color w:val="002060"/>
          <w:sz w:val="28"/>
          <w:szCs w:val="28"/>
        </w:rPr>
        <w:t xml:space="preserve">Méthodologie du module de </w:t>
      </w:r>
      <w:proofErr w:type="spellStart"/>
      <w:r w:rsidRPr="00AE6923">
        <w:rPr>
          <w:rFonts w:ascii="Calibri" w:hAnsi="Calibri" w:cs="Calibri"/>
          <w:color w:val="002060"/>
          <w:sz w:val="28"/>
          <w:szCs w:val="28"/>
        </w:rPr>
        <w:t>scoring</w:t>
      </w:r>
      <w:proofErr w:type="spellEnd"/>
      <w:r w:rsidRPr="00AE6923">
        <w:rPr>
          <w:rFonts w:ascii="Calibri" w:hAnsi="Calibri" w:cs="Calibri"/>
          <w:color w:val="002060"/>
          <w:sz w:val="28"/>
          <w:szCs w:val="28"/>
        </w:rPr>
        <w:t xml:space="preserve"> fondamental</w:t>
      </w:r>
    </w:p>
    <w:p w14:paraId="336B6964" w14:textId="77777777" w:rsidR="008D11E6" w:rsidRPr="00AE6923" w:rsidRDefault="00AE6923">
      <w:pPr>
        <w:pStyle w:val="Titre1"/>
        <w:spacing w:before="400" w:after="200"/>
        <w:rPr>
          <w:rFonts w:ascii="Calibri" w:hAnsi="Calibri" w:cs="Calibri"/>
        </w:rPr>
      </w:pPr>
      <w:r w:rsidRPr="00AE6923">
        <w:rPr>
          <w:rFonts w:ascii="Calibri" w:hAnsi="Calibri" w:cs="Calibri"/>
        </w:rPr>
        <w:t>1. Objectif du module</w:t>
      </w:r>
    </w:p>
    <w:p w14:paraId="3AB6FA7E" w14:textId="77777777" w:rsidR="008D11E6" w:rsidRPr="00AE6923" w:rsidRDefault="00AE6923">
      <w:pPr>
        <w:spacing w:after="160"/>
        <w:rPr>
          <w:rFonts w:ascii="Calibri" w:hAnsi="Calibri" w:cs="Calibri"/>
        </w:rPr>
      </w:pPr>
      <w:r w:rsidRPr="00AE6923">
        <w:rPr>
          <w:rFonts w:ascii="Calibri" w:hAnsi="Calibri" w:cs="Calibri"/>
        </w:rPr>
        <w:t>Le module fondamental répond à une question précise et limitée : cette entreprise possède-t-elle des fondamentaux suffisamment solides pour limiter le risque de perte permanente de capital ? Il ne s'agit pas d'un score de qualité générale, mais d'un filtre calibré sur l'usage spécifique de la stratégie Alpha, qui recherche des actifs à « volatilité saine » plutôt que spéculative.</w:t>
      </w:r>
    </w:p>
    <w:p w14:paraId="18B49376" w14:textId="77777777" w:rsidR="008D11E6" w:rsidRPr="00AE6923" w:rsidRDefault="00AE6923">
      <w:pPr>
        <w:spacing w:after="160"/>
        <w:rPr>
          <w:rFonts w:ascii="Calibri" w:hAnsi="Calibri" w:cs="Calibri"/>
        </w:rPr>
      </w:pPr>
      <w:r w:rsidRPr="00AE6923">
        <w:rPr>
          <w:rFonts w:ascii="Calibri" w:hAnsi="Calibri" w:cs="Calibri"/>
        </w:rPr>
        <w:t>Le score composite produit par ce module sert de filtre de premier niveau. Il n'est volontairement pas destiné à être utilisé directement comme variable d'entrée du futur moteur de probabilité : les variables brutes sous-jacentes sont conservées séparément (voir section 5) afin que le modèle de probabilité puisse apprendre lui-même leur poids relatif, plutôt que d'hériter d'une pondération fixée arbitrairement en amont.</w:t>
      </w:r>
    </w:p>
    <w:p w14:paraId="6289C79E" w14:textId="77777777" w:rsidR="008D11E6" w:rsidRPr="00AE6923" w:rsidRDefault="00AE6923">
      <w:pPr>
        <w:pStyle w:val="Titre1"/>
        <w:spacing w:before="400" w:after="200"/>
        <w:rPr>
          <w:rFonts w:ascii="Calibri" w:hAnsi="Calibri" w:cs="Calibri"/>
        </w:rPr>
      </w:pPr>
      <w:r w:rsidRPr="00AE6923">
        <w:rPr>
          <w:rFonts w:ascii="Calibri" w:hAnsi="Calibri" w:cs="Calibri"/>
        </w:rPr>
        <w:t>2. Les cinq sous-scores</w:t>
      </w:r>
    </w:p>
    <w:p w14:paraId="5ABBE99D" w14:textId="77777777" w:rsidR="008D11E6" w:rsidRPr="00AE6923" w:rsidRDefault="00AE6923">
      <w:pPr>
        <w:spacing w:after="160"/>
        <w:rPr>
          <w:rFonts w:ascii="Calibri" w:hAnsi="Calibri" w:cs="Calibri"/>
        </w:rPr>
      </w:pPr>
      <w:r w:rsidRPr="00AE6923">
        <w:rPr>
          <w:rFonts w:ascii="Calibri" w:hAnsi="Calibri" w:cs="Calibri"/>
        </w:rPr>
        <w:t>Chaque sous-score est calculé à partir de variables brutes normalisées sur une échelle de 0 à 100, puis agrégé en un score composite pondéré. Les cinq dimensions retenues sont les suivantes.</w:t>
      </w:r>
    </w:p>
    <w:p w14:paraId="75FE177B" w14:textId="77777777" w:rsidR="008D11E6" w:rsidRPr="00AE6923" w:rsidRDefault="00AE6923">
      <w:pPr>
        <w:pStyle w:val="Titre2"/>
        <w:spacing w:before="300" w:after="150"/>
        <w:rPr>
          <w:rFonts w:ascii="Calibri" w:hAnsi="Calibri" w:cs="Calibri"/>
        </w:rPr>
      </w:pPr>
      <w:r w:rsidRPr="00AE6923">
        <w:rPr>
          <w:rFonts w:ascii="Calibri" w:hAnsi="Calibri" w:cs="Calibri"/>
        </w:rPr>
        <w:t>2.1 Croissance</w:t>
      </w:r>
    </w:p>
    <w:p w14:paraId="2FD7B5A8" w14:textId="77777777" w:rsidR="008D11E6" w:rsidRPr="00AE6923" w:rsidRDefault="00AE6923">
      <w:pPr>
        <w:spacing w:after="160"/>
        <w:rPr>
          <w:rFonts w:ascii="Calibri" w:hAnsi="Calibri" w:cs="Calibri"/>
        </w:rPr>
      </w:pPr>
      <w:r w:rsidRPr="00AE6923">
        <w:rPr>
          <w:rFonts w:ascii="Calibri" w:hAnsi="Calibri" w:cs="Calibri"/>
        </w:rPr>
        <w:t>Mesure la dynamique de développement de l'entreprise à partir de la croissance du chiffre d'affaires (glissement annuel et taux de croissance annuel composé sur 3 ans) et de la croissance du bénéfice par action.</w:t>
      </w:r>
    </w:p>
    <w:p w14:paraId="1FD5EE76" w14:textId="77777777" w:rsidR="00AE6923" w:rsidRPr="00AE6923" w:rsidRDefault="00AE6923" w:rsidP="00AE6923">
      <w:pPr>
        <w:spacing w:after="160"/>
        <w:rPr>
          <w:rFonts w:ascii="Calibri" w:hAnsi="Calibri" w:cs="Calibri"/>
          <w:color w:val="002060"/>
        </w:rPr>
      </w:pPr>
      <w:proofErr w:type="gramStart"/>
      <w:r w:rsidRPr="00AE6923">
        <w:rPr>
          <w:rFonts w:ascii="Calibri" w:hAnsi="Calibri" w:cs="Calibri"/>
          <w:color w:val="002060"/>
        </w:rPr>
        <w:t>score</w:t>
      </w:r>
      <w:proofErr w:type="gramEnd"/>
      <w:r w:rsidRPr="00AE6923">
        <w:rPr>
          <w:rFonts w:ascii="Calibri" w:hAnsi="Calibri" w:cs="Calibri"/>
          <w:color w:val="002060"/>
        </w:rPr>
        <w:t xml:space="preserve"> = ((valeur − </w:t>
      </w:r>
      <w:proofErr w:type="spellStart"/>
      <w:r w:rsidRPr="00AE6923">
        <w:rPr>
          <w:rFonts w:ascii="Calibri" w:hAnsi="Calibri" w:cs="Calibri"/>
          <w:color w:val="002060"/>
        </w:rPr>
        <w:t>seuil_bas</w:t>
      </w:r>
      <w:proofErr w:type="spellEnd"/>
      <w:r w:rsidRPr="00AE6923">
        <w:rPr>
          <w:rFonts w:ascii="Calibri" w:hAnsi="Calibri" w:cs="Calibri"/>
          <w:color w:val="002060"/>
        </w:rPr>
        <w:t>) / (</w:t>
      </w:r>
      <w:proofErr w:type="spellStart"/>
      <w:r w:rsidRPr="00AE6923">
        <w:rPr>
          <w:rFonts w:ascii="Calibri" w:hAnsi="Calibri" w:cs="Calibri"/>
          <w:color w:val="002060"/>
        </w:rPr>
        <w:t>seuil_haut</w:t>
      </w:r>
      <w:proofErr w:type="spellEnd"/>
      <w:r w:rsidRPr="00AE6923">
        <w:rPr>
          <w:rFonts w:ascii="Calibri" w:hAnsi="Calibri" w:cs="Calibri"/>
          <w:color w:val="002060"/>
        </w:rPr>
        <w:t xml:space="preserve"> − </w:t>
      </w:r>
      <w:proofErr w:type="spellStart"/>
      <w:r w:rsidRPr="00AE6923">
        <w:rPr>
          <w:rFonts w:ascii="Calibri" w:hAnsi="Calibri" w:cs="Calibri"/>
          <w:color w:val="002060"/>
        </w:rPr>
        <w:t>seuil_bas</w:t>
      </w:r>
      <w:proofErr w:type="spellEnd"/>
      <w:r w:rsidRPr="00AE6923">
        <w:rPr>
          <w:rFonts w:ascii="Calibri" w:hAnsi="Calibri" w:cs="Calibri"/>
          <w:color w:val="002060"/>
        </w:rPr>
        <w:t>)) × 100, écrêté entre 0 et 100</w:t>
      </w:r>
    </w:p>
    <w:p w14:paraId="6D29EA40" w14:textId="31EB7333" w:rsidR="00AE6923" w:rsidRPr="00AE6923" w:rsidRDefault="00AE6923" w:rsidP="00AE6923">
      <w:pPr>
        <w:spacing w:after="160"/>
        <w:rPr>
          <w:rFonts w:ascii="Calibri" w:hAnsi="Calibri" w:cs="Calibri"/>
          <w:color w:val="C00000"/>
        </w:rPr>
      </w:pPr>
      <w:r w:rsidRPr="00AE6923">
        <w:rPr>
          <w:rFonts w:ascii="Calibri" w:hAnsi="Calibri" w:cs="Calibri"/>
          <w:b/>
          <w:bCs/>
          <w:color w:val="C00000"/>
        </w:rPr>
        <w:t xml:space="preserve">EXEMPLE </w:t>
      </w:r>
      <w:r w:rsidRPr="00AE6923">
        <w:rPr>
          <w:rFonts w:ascii="Calibri" w:hAnsi="Calibri" w:cs="Calibri"/>
          <w:b/>
          <w:bCs/>
          <w:color w:val="C00000"/>
        </w:rPr>
        <w:t>Croissance</w:t>
      </w:r>
      <w:r w:rsidRPr="00AE6923">
        <w:rPr>
          <w:rFonts w:ascii="Calibri" w:hAnsi="Calibri" w:cs="Calibri"/>
          <w:color w:val="C00000"/>
        </w:rPr>
        <w:t xml:space="preserve"> (moyenne de 3 composantes)</w:t>
      </w:r>
    </w:p>
    <w:p w14:paraId="7C0C7ABA" w14:textId="77777777" w:rsidR="00AE6923" w:rsidRPr="00AE6923" w:rsidRDefault="00AE6923" w:rsidP="00AE6923">
      <w:pPr>
        <w:numPr>
          <w:ilvl w:val="0"/>
          <w:numId w:val="3"/>
        </w:numPr>
        <w:spacing w:after="160"/>
        <w:rPr>
          <w:rFonts w:ascii="Calibri" w:hAnsi="Calibri" w:cs="Calibri"/>
          <w:color w:val="C00000"/>
        </w:rPr>
      </w:pPr>
      <w:r w:rsidRPr="00AE6923">
        <w:rPr>
          <w:rFonts w:ascii="Calibri" w:hAnsi="Calibri" w:cs="Calibri"/>
          <w:color w:val="C00000"/>
        </w:rPr>
        <w:t xml:space="preserve">Croissance CA </w:t>
      </w:r>
      <w:proofErr w:type="spellStart"/>
      <w:r w:rsidRPr="00AE6923">
        <w:rPr>
          <w:rFonts w:ascii="Calibri" w:hAnsi="Calibri" w:cs="Calibri"/>
          <w:color w:val="C00000"/>
        </w:rPr>
        <w:t>YoY</w:t>
      </w:r>
      <w:proofErr w:type="spellEnd"/>
      <w:r w:rsidRPr="00AE6923">
        <w:rPr>
          <w:rFonts w:ascii="Calibri" w:hAnsi="Calibri" w:cs="Calibri"/>
          <w:color w:val="C00000"/>
        </w:rPr>
        <w:t xml:space="preserve"> : seuil bas −5%, seuil haut +30%</w:t>
      </w:r>
    </w:p>
    <w:p w14:paraId="05CD3DEA" w14:textId="77777777" w:rsidR="00AE6923" w:rsidRPr="00AE6923" w:rsidRDefault="00AE6923" w:rsidP="00AE6923">
      <w:pPr>
        <w:numPr>
          <w:ilvl w:val="0"/>
          <w:numId w:val="3"/>
        </w:numPr>
        <w:spacing w:after="160"/>
        <w:rPr>
          <w:rFonts w:ascii="Calibri" w:hAnsi="Calibri" w:cs="Calibri"/>
          <w:color w:val="C00000"/>
        </w:rPr>
      </w:pPr>
      <w:r w:rsidRPr="00AE6923">
        <w:rPr>
          <w:rFonts w:ascii="Calibri" w:hAnsi="Calibri" w:cs="Calibri"/>
          <w:color w:val="C00000"/>
        </w:rPr>
        <w:t>CAGR CA 3 ans : seuil bas 0%, seuil haut +25%</w:t>
      </w:r>
    </w:p>
    <w:p w14:paraId="2DCCF5BA" w14:textId="77777777" w:rsidR="00AE6923" w:rsidRPr="00AE6923" w:rsidRDefault="00AE6923" w:rsidP="00AE6923">
      <w:pPr>
        <w:numPr>
          <w:ilvl w:val="0"/>
          <w:numId w:val="3"/>
        </w:numPr>
        <w:spacing w:after="160"/>
        <w:rPr>
          <w:rFonts w:ascii="Calibri" w:hAnsi="Calibri" w:cs="Calibri"/>
          <w:color w:val="C00000"/>
        </w:rPr>
      </w:pPr>
      <w:r w:rsidRPr="00AE6923">
        <w:rPr>
          <w:rFonts w:ascii="Calibri" w:hAnsi="Calibri" w:cs="Calibri"/>
          <w:color w:val="C00000"/>
        </w:rPr>
        <w:t xml:space="preserve">Croissance EPS </w:t>
      </w:r>
      <w:proofErr w:type="spellStart"/>
      <w:r w:rsidRPr="00AE6923">
        <w:rPr>
          <w:rFonts w:ascii="Calibri" w:hAnsi="Calibri" w:cs="Calibri"/>
          <w:color w:val="C00000"/>
        </w:rPr>
        <w:t>YoY</w:t>
      </w:r>
      <w:proofErr w:type="spellEnd"/>
      <w:r w:rsidRPr="00AE6923">
        <w:rPr>
          <w:rFonts w:ascii="Calibri" w:hAnsi="Calibri" w:cs="Calibri"/>
          <w:color w:val="C00000"/>
        </w:rPr>
        <w:t xml:space="preserve"> : seuil bas −10%, seuil haut +35%</w:t>
      </w:r>
    </w:p>
    <w:p w14:paraId="2AFBB17F" w14:textId="782E2C05" w:rsidR="00AE6923" w:rsidRPr="00AE6923" w:rsidRDefault="00AE6923" w:rsidP="00AE6923">
      <w:pPr>
        <w:spacing w:after="160"/>
        <w:rPr>
          <w:rFonts w:ascii="Calibri" w:hAnsi="Calibri" w:cs="Calibri"/>
          <w:color w:val="C00000"/>
        </w:rPr>
      </w:pPr>
      <w:r w:rsidRPr="00AE6923">
        <w:rPr>
          <w:rFonts w:ascii="Calibri" w:hAnsi="Calibri" w:cs="Calibri"/>
          <w:color w:val="C00000"/>
        </w:rPr>
        <w:t xml:space="preserve">Exemple </w:t>
      </w:r>
      <w:r w:rsidRPr="00AE6923">
        <w:rPr>
          <w:rFonts w:ascii="Calibri" w:hAnsi="Calibri" w:cs="Calibri"/>
          <w:color w:val="C00000"/>
        </w:rPr>
        <w:t xml:space="preserve">sur action </w:t>
      </w:r>
      <w:proofErr w:type="spellStart"/>
      <w:r w:rsidRPr="00AE6923">
        <w:rPr>
          <w:rFonts w:ascii="Calibri" w:hAnsi="Calibri" w:cs="Calibri"/>
          <w:color w:val="C00000"/>
        </w:rPr>
        <w:t>Palantir</w:t>
      </w:r>
      <w:proofErr w:type="spellEnd"/>
      <w:r w:rsidRPr="00AE6923">
        <w:rPr>
          <w:rFonts w:ascii="Calibri" w:hAnsi="Calibri" w:cs="Calibri"/>
          <w:color w:val="C00000"/>
        </w:rPr>
        <w:t xml:space="preserve"> : CA </w:t>
      </w:r>
      <w:proofErr w:type="spellStart"/>
      <w:r w:rsidRPr="00AE6923">
        <w:rPr>
          <w:rFonts w:ascii="Calibri" w:hAnsi="Calibri" w:cs="Calibri"/>
          <w:color w:val="C00000"/>
        </w:rPr>
        <w:t>YoY</w:t>
      </w:r>
      <w:proofErr w:type="spellEnd"/>
      <w:r w:rsidRPr="00AE6923">
        <w:rPr>
          <w:rFonts w:ascii="Calibri" w:hAnsi="Calibri" w:cs="Calibri"/>
          <w:color w:val="C00000"/>
        </w:rPr>
        <w:t xml:space="preserve"> = 27%, CAGR 3 ans = 22%, EPS </w:t>
      </w:r>
      <w:proofErr w:type="spellStart"/>
      <w:r w:rsidRPr="00AE6923">
        <w:rPr>
          <w:rFonts w:ascii="Calibri" w:hAnsi="Calibri" w:cs="Calibri"/>
          <w:color w:val="C00000"/>
        </w:rPr>
        <w:t>YoY</w:t>
      </w:r>
      <w:proofErr w:type="spellEnd"/>
      <w:r w:rsidRPr="00AE6923">
        <w:rPr>
          <w:rFonts w:ascii="Calibri" w:hAnsi="Calibri" w:cs="Calibri"/>
          <w:color w:val="C00000"/>
        </w:rPr>
        <w:t xml:space="preserve"> = 40%</w:t>
      </w:r>
    </w:p>
    <w:p w14:paraId="14D50F36" w14:textId="77777777" w:rsidR="00AE6923" w:rsidRPr="00AE6923" w:rsidRDefault="00AE6923" w:rsidP="00AE6923">
      <w:pPr>
        <w:numPr>
          <w:ilvl w:val="0"/>
          <w:numId w:val="4"/>
        </w:numPr>
        <w:spacing w:after="160"/>
        <w:rPr>
          <w:rFonts w:ascii="Calibri" w:hAnsi="Calibri" w:cs="Calibri"/>
          <w:color w:val="C00000"/>
        </w:rPr>
      </w:pPr>
      <w:r w:rsidRPr="00AE6923">
        <w:rPr>
          <w:rFonts w:ascii="Calibri" w:hAnsi="Calibri" w:cs="Calibri"/>
          <w:color w:val="C00000"/>
        </w:rPr>
        <w:t xml:space="preserve">CA </w:t>
      </w:r>
      <w:proofErr w:type="spellStart"/>
      <w:r w:rsidRPr="00AE6923">
        <w:rPr>
          <w:rFonts w:ascii="Calibri" w:hAnsi="Calibri" w:cs="Calibri"/>
          <w:color w:val="C00000"/>
        </w:rPr>
        <w:t>YoY</w:t>
      </w:r>
      <w:proofErr w:type="spellEnd"/>
      <w:r w:rsidRPr="00AE6923">
        <w:rPr>
          <w:rFonts w:ascii="Calibri" w:hAnsi="Calibri" w:cs="Calibri"/>
          <w:color w:val="C00000"/>
        </w:rPr>
        <w:t xml:space="preserve"> : (0,27 − (−0,05)) / (0,30 − (−0,05)) × 100 = 91,4</w:t>
      </w:r>
    </w:p>
    <w:p w14:paraId="4CB53553" w14:textId="77777777" w:rsidR="00AE6923" w:rsidRPr="00AE6923" w:rsidRDefault="00AE6923" w:rsidP="00AE6923">
      <w:pPr>
        <w:numPr>
          <w:ilvl w:val="0"/>
          <w:numId w:val="4"/>
        </w:numPr>
        <w:spacing w:after="160"/>
        <w:rPr>
          <w:rFonts w:ascii="Calibri" w:hAnsi="Calibri" w:cs="Calibri"/>
          <w:color w:val="C00000"/>
        </w:rPr>
      </w:pPr>
      <w:r w:rsidRPr="00AE6923">
        <w:rPr>
          <w:rFonts w:ascii="Calibri" w:hAnsi="Calibri" w:cs="Calibri"/>
          <w:color w:val="C00000"/>
        </w:rPr>
        <w:t>CAGR : (0,22 − 0) / (0,25 − 0) × 100 = 88,0</w:t>
      </w:r>
    </w:p>
    <w:p w14:paraId="5ECB9F85" w14:textId="77777777" w:rsidR="00AE6923" w:rsidRPr="00AE6923" w:rsidRDefault="00AE6923" w:rsidP="00AE6923">
      <w:pPr>
        <w:numPr>
          <w:ilvl w:val="0"/>
          <w:numId w:val="4"/>
        </w:numPr>
        <w:spacing w:after="160"/>
        <w:rPr>
          <w:rFonts w:ascii="Calibri" w:hAnsi="Calibri" w:cs="Calibri"/>
          <w:color w:val="C00000"/>
        </w:rPr>
      </w:pPr>
      <w:r w:rsidRPr="00AE6923">
        <w:rPr>
          <w:rFonts w:ascii="Calibri" w:hAnsi="Calibri" w:cs="Calibri"/>
          <w:color w:val="C00000"/>
        </w:rPr>
        <w:t>EPS : (0,40 − (−0,10)) / (0,35 − (−0,10)) × 100 = 111,1 → écrêté à 100</w:t>
      </w:r>
    </w:p>
    <w:p w14:paraId="67D8C896" w14:textId="029418F5" w:rsidR="00AE6923" w:rsidRPr="00AE6923" w:rsidRDefault="00AE6923">
      <w:pPr>
        <w:spacing w:after="160"/>
        <w:rPr>
          <w:rFonts w:ascii="Calibri" w:hAnsi="Calibri" w:cs="Calibri"/>
          <w:color w:val="C00000"/>
        </w:rPr>
      </w:pPr>
      <w:r w:rsidRPr="00AE6923">
        <w:rPr>
          <w:rFonts w:ascii="Calibri" w:hAnsi="Calibri" w:cs="Calibri"/>
          <w:color w:val="C00000"/>
        </w:rPr>
        <w:t xml:space="preserve">Score croissance = (91,4 + 88,0 + 100) / 3 = </w:t>
      </w:r>
      <w:r w:rsidRPr="00AE6923">
        <w:rPr>
          <w:rFonts w:ascii="Calibri" w:hAnsi="Calibri" w:cs="Calibri"/>
          <w:b/>
          <w:bCs/>
          <w:color w:val="C00000"/>
        </w:rPr>
        <w:t>93,1</w:t>
      </w:r>
    </w:p>
    <w:p w14:paraId="0160BE22" w14:textId="77777777" w:rsidR="008D11E6" w:rsidRPr="00AE6923" w:rsidRDefault="00AE6923">
      <w:pPr>
        <w:pStyle w:val="Titre2"/>
        <w:spacing w:before="300" w:after="150"/>
        <w:rPr>
          <w:rFonts w:ascii="Calibri" w:hAnsi="Calibri" w:cs="Calibri"/>
        </w:rPr>
      </w:pPr>
      <w:r w:rsidRPr="00AE6923">
        <w:rPr>
          <w:rFonts w:ascii="Calibri" w:hAnsi="Calibri" w:cs="Calibri"/>
        </w:rPr>
        <w:t>2.2 Rentabilité</w:t>
      </w:r>
    </w:p>
    <w:p w14:paraId="776AD87E" w14:textId="77777777" w:rsidR="008D11E6" w:rsidRPr="00AE6923" w:rsidRDefault="00AE6923">
      <w:pPr>
        <w:spacing w:after="160"/>
        <w:rPr>
          <w:rFonts w:ascii="Calibri" w:hAnsi="Calibri" w:cs="Calibri"/>
        </w:rPr>
      </w:pPr>
      <w:r w:rsidRPr="00AE6923">
        <w:rPr>
          <w:rFonts w:ascii="Calibri" w:hAnsi="Calibri" w:cs="Calibri"/>
        </w:rPr>
        <w:t>Combine les marges brute et opérationnelle, le ROE, et surtout le spread entre le ROIC et le coût du capital (WACC) estimé. Ce spread est le signal le plus pertinent de création de valeur économique réelle : un ROIC élevé n'a de sens que rapporté au coût du capital engagé pour l'obtenir.</w:t>
      </w:r>
    </w:p>
    <w:p w14:paraId="69405283" w14:textId="2B1C4343" w:rsidR="00AE6923" w:rsidRPr="00AE6923" w:rsidRDefault="00AE6923" w:rsidP="00AE6923">
      <w:pPr>
        <w:spacing w:after="160"/>
        <w:rPr>
          <w:rFonts w:ascii="Calibri" w:hAnsi="Calibri" w:cs="Calibri"/>
          <w:color w:val="C00000"/>
        </w:rPr>
      </w:pPr>
      <w:r w:rsidRPr="00AE6923">
        <w:rPr>
          <w:rFonts w:ascii="Calibri" w:hAnsi="Calibri" w:cs="Calibri"/>
          <w:b/>
          <w:bCs/>
          <w:color w:val="C00000"/>
        </w:rPr>
        <w:t xml:space="preserve">EXEMPLE </w:t>
      </w:r>
      <w:r w:rsidRPr="00AE6923">
        <w:rPr>
          <w:rFonts w:ascii="Calibri" w:hAnsi="Calibri" w:cs="Calibri"/>
          <w:b/>
          <w:bCs/>
          <w:color w:val="C00000"/>
        </w:rPr>
        <w:t>Rentabilité</w:t>
      </w:r>
      <w:r w:rsidRPr="00AE6923">
        <w:rPr>
          <w:rFonts w:ascii="Calibri" w:hAnsi="Calibri" w:cs="Calibri"/>
          <w:color w:val="C00000"/>
        </w:rPr>
        <w:t xml:space="preserve"> (moyenne de 4 composantes)</w:t>
      </w:r>
    </w:p>
    <w:p w14:paraId="63AA4D12" w14:textId="77777777" w:rsidR="00AE6923" w:rsidRPr="00AE6923" w:rsidRDefault="00AE6923" w:rsidP="00AE6923">
      <w:pPr>
        <w:numPr>
          <w:ilvl w:val="0"/>
          <w:numId w:val="5"/>
        </w:numPr>
        <w:spacing w:after="160"/>
        <w:rPr>
          <w:rFonts w:ascii="Calibri" w:hAnsi="Calibri" w:cs="Calibri"/>
          <w:color w:val="C00000"/>
        </w:rPr>
      </w:pPr>
      <w:r w:rsidRPr="00AE6923">
        <w:rPr>
          <w:rFonts w:ascii="Calibri" w:hAnsi="Calibri" w:cs="Calibri"/>
          <w:color w:val="C00000"/>
        </w:rPr>
        <w:t>Marge brute : seuil bas 10%, haut 70%</w:t>
      </w:r>
    </w:p>
    <w:p w14:paraId="175B9172" w14:textId="77777777" w:rsidR="00AE6923" w:rsidRPr="00AE6923" w:rsidRDefault="00AE6923" w:rsidP="00AE6923">
      <w:pPr>
        <w:numPr>
          <w:ilvl w:val="0"/>
          <w:numId w:val="5"/>
        </w:numPr>
        <w:spacing w:after="160"/>
        <w:rPr>
          <w:rFonts w:ascii="Calibri" w:hAnsi="Calibri" w:cs="Calibri"/>
          <w:color w:val="C00000"/>
        </w:rPr>
      </w:pPr>
      <w:r w:rsidRPr="00AE6923">
        <w:rPr>
          <w:rFonts w:ascii="Calibri" w:hAnsi="Calibri" w:cs="Calibri"/>
          <w:color w:val="C00000"/>
        </w:rPr>
        <w:t>Marge opérationnelle : seuil bas 0%, haut 35%</w:t>
      </w:r>
    </w:p>
    <w:p w14:paraId="2EE77717" w14:textId="77777777" w:rsidR="00AE6923" w:rsidRPr="00AE6923" w:rsidRDefault="00AE6923" w:rsidP="00AE6923">
      <w:pPr>
        <w:numPr>
          <w:ilvl w:val="0"/>
          <w:numId w:val="5"/>
        </w:numPr>
        <w:spacing w:after="160"/>
        <w:rPr>
          <w:rFonts w:ascii="Calibri" w:hAnsi="Calibri" w:cs="Calibri"/>
          <w:color w:val="C00000"/>
        </w:rPr>
      </w:pPr>
      <w:r w:rsidRPr="00AE6923">
        <w:rPr>
          <w:rFonts w:ascii="Calibri" w:hAnsi="Calibri" w:cs="Calibri"/>
          <w:color w:val="C00000"/>
        </w:rPr>
        <w:lastRenderedPageBreak/>
        <w:t>ROE : seuil bas 0%, haut 30%</w:t>
      </w:r>
    </w:p>
    <w:p w14:paraId="00D07B6F" w14:textId="77777777" w:rsidR="00AE6923" w:rsidRPr="00AE6923" w:rsidRDefault="00AE6923" w:rsidP="00AE6923">
      <w:pPr>
        <w:numPr>
          <w:ilvl w:val="0"/>
          <w:numId w:val="5"/>
        </w:numPr>
        <w:spacing w:after="160"/>
        <w:rPr>
          <w:rFonts w:ascii="Calibri" w:hAnsi="Calibri" w:cs="Calibri"/>
          <w:color w:val="C00000"/>
        </w:rPr>
      </w:pPr>
      <w:r w:rsidRPr="00AE6923">
        <w:rPr>
          <w:rFonts w:ascii="Calibri" w:hAnsi="Calibri" w:cs="Calibri"/>
          <w:color w:val="C00000"/>
        </w:rPr>
        <w:t>Spread ROIC−WACC : seuil bas −5%, haut +15%</w:t>
      </w:r>
    </w:p>
    <w:p w14:paraId="591C0F24" w14:textId="77777777" w:rsidR="00AE6923" w:rsidRPr="00AE6923" w:rsidRDefault="00AE6923" w:rsidP="00AE6923">
      <w:pPr>
        <w:spacing w:after="160"/>
        <w:rPr>
          <w:rFonts w:ascii="Calibri" w:hAnsi="Calibri" w:cs="Calibri"/>
          <w:color w:val="C00000"/>
        </w:rPr>
      </w:pPr>
      <w:r w:rsidRPr="00AE6923">
        <w:rPr>
          <w:rFonts w:ascii="Calibri" w:hAnsi="Calibri" w:cs="Calibri"/>
          <w:color w:val="C00000"/>
        </w:rPr>
        <w:t>Exemple : marge brute 80%, marge op. 15%, ROE 12%, ROIC 10%, WACC 9% (spread = 1%)</w:t>
      </w:r>
    </w:p>
    <w:p w14:paraId="247DAC4D" w14:textId="77777777" w:rsidR="00AE6923" w:rsidRPr="00AE6923" w:rsidRDefault="00AE6923" w:rsidP="00AE6923">
      <w:pPr>
        <w:numPr>
          <w:ilvl w:val="0"/>
          <w:numId w:val="6"/>
        </w:numPr>
        <w:spacing w:after="160"/>
        <w:rPr>
          <w:rFonts w:ascii="Calibri" w:hAnsi="Calibri" w:cs="Calibri"/>
          <w:color w:val="C00000"/>
        </w:rPr>
      </w:pPr>
      <w:r w:rsidRPr="00AE6923">
        <w:rPr>
          <w:rFonts w:ascii="Calibri" w:hAnsi="Calibri" w:cs="Calibri"/>
          <w:color w:val="C00000"/>
        </w:rPr>
        <w:t>Marge brute : (0,80−0,</w:t>
      </w:r>
      <w:proofErr w:type="gramStart"/>
      <w:r w:rsidRPr="00AE6923">
        <w:rPr>
          <w:rFonts w:ascii="Calibri" w:hAnsi="Calibri" w:cs="Calibri"/>
          <w:color w:val="C00000"/>
        </w:rPr>
        <w:t>10)/</w:t>
      </w:r>
      <w:proofErr w:type="gramEnd"/>
      <w:r w:rsidRPr="00AE6923">
        <w:rPr>
          <w:rFonts w:ascii="Calibri" w:hAnsi="Calibri" w:cs="Calibri"/>
          <w:color w:val="C00000"/>
        </w:rPr>
        <w:t>(0,70−0,10)×100 = 116,7 → écrêté à 100</w:t>
      </w:r>
    </w:p>
    <w:p w14:paraId="0447CB36" w14:textId="77777777" w:rsidR="00AE6923" w:rsidRPr="00AE6923" w:rsidRDefault="00AE6923" w:rsidP="00AE6923">
      <w:pPr>
        <w:numPr>
          <w:ilvl w:val="0"/>
          <w:numId w:val="6"/>
        </w:numPr>
        <w:spacing w:after="160"/>
        <w:rPr>
          <w:rFonts w:ascii="Calibri" w:hAnsi="Calibri" w:cs="Calibri"/>
          <w:color w:val="C00000"/>
        </w:rPr>
      </w:pPr>
      <w:r w:rsidRPr="00AE6923">
        <w:rPr>
          <w:rFonts w:ascii="Calibri" w:hAnsi="Calibri" w:cs="Calibri"/>
          <w:color w:val="C00000"/>
        </w:rPr>
        <w:t>Marge op. : (0,15−</w:t>
      </w:r>
      <w:proofErr w:type="gramStart"/>
      <w:r w:rsidRPr="00AE6923">
        <w:rPr>
          <w:rFonts w:ascii="Calibri" w:hAnsi="Calibri" w:cs="Calibri"/>
          <w:color w:val="C00000"/>
        </w:rPr>
        <w:t>0)/</w:t>
      </w:r>
      <w:proofErr w:type="gramEnd"/>
      <w:r w:rsidRPr="00AE6923">
        <w:rPr>
          <w:rFonts w:ascii="Calibri" w:hAnsi="Calibri" w:cs="Calibri"/>
          <w:color w:val="C00000"/>
        </w:rPr>
        <w:t>(0,35−0)×100 = 42,9</w:t>
      </w:r>
    </w:p>
    <w:p w14:paraId="514B83CC" w14:textId="77777777" w:rsidR="00AE6923" w:rsidRPr="00AE6923" w:rsidRDefault="00AE6923" w:rsidP="00AE6923">
      <w:pPr>
        <w:numPr>
          <w:ilvl w:val="0"/>
          <w:numId w:val="6"/>
        </w:numPr>
        <w:spacing w:after="160"/>
        <w:rPr>
          <w:rFonts w:ascii="Calibri" w:hAnsi="Calibri" w:cs="Calibri"/>
          <w:color w:val="C00000"/>
        </w:rPr>
      </w:pPr>
      <w:r w:rsidRPr="00AE6923">
        <w:rPr>
          <w:rFonts w:ascii="Calibri" w:hAnsi="Calibri" w:cs="Calibri"/>
          <w:color w:val="C00000"/>
        </w:rPr>
        <w:t>ROE : (0,12−</w:t>
      </w:r>
      <w:proofErr w:type="gramStart"/>
      <w:r w:rsidRPr="00AE6923">
        <w:rPr>
          <w:rFonts w:ascii="Calibri" w:hAnsi="Calibri" w:cs="Calibri"/>
          <w:color w:val="C00000"/>
        </w:rPr>
        <w:t>0)/</w:t>
      </w:r>
      <w:proofErr w:type="gramEnd"/>
      <w:r w:rsidRPr="00AE6923">
        <w:rPr>
          <w:rFonts w:ascii="Calibri" w:hAnsi="Calibri" w:cs="Calibri"/>
          <w:color w:val="C00000"/>
        </w:rPr>
        <w:t>(0,30−0)×100 = 40,0</w:t>
      </w:r>
    </w:p>
    <w:p w14:paraId="590C1741" w14:textId="77777777" w:rsidR="00AE6923" w:rsidRPr="00AE6923" w:rsidRDefault="00AE6923" w:rsidP="00AE6923">
      <w:pPr>
        <w:numPr>
          <w:ilvl w:val="0"/>
          <w:numId w:val="6"/>
        </w:numPr>
        <w:spacing w:after="160"/>
        <w:rPr>
          <w:rFonts w:ascii="Calibri" w:hAnsi="Calibri" w:cs="Calibri"/>
          <w:color w:val="C00000"/>
        </w:rPr>
      </w:pPr>
      <w:r w:rsidRPr="00AE6923">
        <w:rPr>
          <w:rFonts w:ascii="Calibri" w:hAnsi="Calibri" w:cs="Calibri"/>
          <w:color w:val="C00000"/>
        </w:rPr>
        <w:t>Spread : (0,01−(−0,05</w:t>
      </w:r>
      <w:proofErr w:type="gramStart"/>
      <w:r w:rsidRPr="00AE6923">
        <w:rPr>
          <w:rFonts w:ascii="Calibri" w:hAnsi="Calibri" w:cs="Calibri"/>
          <w:color w:val="C00000"/>
        </w:rPr>
        <w:t>))/</w:t>
      </w:r>
      <w:proofErr w:type="gramEnd"/>
      <w:r w:rsidRPr="00AE6923">
        <w:rPr>
          <w:rFonts w:ascii="Calibri" w:hAnsi="Calibri" w:cs="Calibri"/>
          <w:color w:val="C00000"/>
        </w:rPr>
        <w:t>(0,15−(−0,05))×100 = 30,0</w:t>
      </w:r>
    </w:p>
    <w:p w14:paraId="5A3EFE5F" w14:textId="764D1D94" w:rsidR="00AE6923" w:rsidRPr="00AE6923" w:rsidRDefault="00AE6923">
      <w:pPr>
        <w:spacing w:after="160"/>
        <w:rPr>
          <w:rFonts w:ascii="Calibri" w:hAnsi="Calibri" w:cs="Calibri"/>
          <w:color w:val="C00000"/>
        </w:rPr>
      </w:pPr>
      <w:r w:rsidRPr="00AE6923">
        <w:rPr>
          <w:rFonts w:ascii="Calibri" w:hAnsi="Calibri" w:cs="Calibri"/>
          <w:color w:val="C00000"/>
        </w:rPr>
        <w:t xml:space="preserve">Score rentabilité = (100 + 42,9 + 40,0 + 30,0) / 4 = </w:t>
      </w:r>
      <w:r w:rsidRPr="00AE6923">
        <w:rPr>
          <w:rFonts w:ascii="Calibri" w:hAnsi="Calibri" w:cs="Calibri"/>
          <w:b/>
          <w:bCs/>
          <w:color w:val="C00000"/>
        </w:rPr>
        <w:t>53,2</w:t>
      </w:r>
    </w:p>
    <w:p w14:paraId="5900582D" w14:textId="77777777" w:rsidR="008D11E6" w:rsidRPr="00AE6923" w:rsidRDefault="00AE6923">
      <w:pPr>
        <w:pStyle w:val="Titre2"/>
        <w:spacing w:before="300" w:after="150"/>
        <w:rPr>
          <w:rFonts w:ascii="Calibri" w:hAnsi="Calibri" w:cs="Calibri"/>
        </w:rPr>
      </w:pPr>
      <w:r w:rsidRPr="00AE6923">
        <w:rPr>
          <w:rFonts w:ascii="Calibri" w:hAnsi="Calibri" w:cs="Calibri"/>
        </w:rPr>
        <w:t>2.3 Solidité bilancielle</w:t>
      </w:r>
    </w:p>
    <w:p w14:paraId="7D43AC35" w14:textId="77777777" w:rsidR="008D11E6" w:rsidRPr="00AE6923" w:rsidRDefault="00AE6923">
      <w:pPr>
        <w:spacing w:after="160"/>
        <w:rPr>
          <w:rFonts w:ascii="Calibri" w:hAnsi="Calibri" w:cs="Calibri"/>
        </w:rPr>
      </w:pPr>
      <w:r w:rsidRPr="00AE6923">
        <w:rPr>
          <w:rFonts w:ascii="Calibri" w:hAnsi="Calibri" w:cs="Calibri"/>
        </w:rPr>
        <w:t>Évalue le risque financier via la dette nette rapportée à l'EBITDA, la couverture des charges financières par le résultat d'exploitation, et le ratio de liquidité générale. Ces trois variables sont normalisées de façon inversée : moins d'endettement produit un score plus élevé.</w:t>
      </w:r>
    </w:p>
    <w:p w14:paraId="6B396533" w14:textId="77777777" w:rsidR="00AE6923" w:rsidRPr="00AE6923" w:rsidRDefault="00AE6923" w:rsidP="00AE6923">
      <w:pPr>
        <w:spacing w:after="160"/>
        <w:rPr>
          <w:rFonts w:ascii="Calibri" w:hAnsi="Calibri" w:cs="Calibri"/>
          <w:color w:val="C00000"/>
        </w:rPr>
      </w:pPr>
      <w:r w:rsidRPr="00AE6923">
        <w:rPr>
          <w:rFonts w:ascii="Calibri" w:hAnsi="Calibri" w:cs="Calibri"/>
          <w:b/>
          <w:bCs/>
          <w:color w:val="C00000"/>
        </w:rPr>
        <w:t>Solidité bilancielle</w:t>
      </w:r>
      <w:r w:rsidRPr="00AE6923">
        <w:rPr>
          <w:rFonts w:ascii="Calibri" w:hAnsi="Calibri" w:cs="Calibri"/>
          <w:color w:val="C00000"/>
        </w:rPr>
        <w:t xml:space="preserve"> (moyenne de 3 composantes, logique inversée pour la dette)</w:t>
      </w:r>
    </w:p>
    <w:p w14:paraId="13EC3BE2" w14:textId="77777777" w:rsidR="00AE6923" w:rsidRPr="00AE6923" w:rsidRDefault="00AE6923" w:rsidP="00AE6923">
      <w:pPr>
        <w:numPr>
          <w:ilvl w:val="0"/>
          <w:numId w:val="7"/>
        </w:numPr>
        <w:spacing w:after="160"/>
        <w:rPr>
          <w:rFonts w:ascii="Calibri" w:hAnsi="Calibri" w:cs="Calibri"/>
          <w:color w:val="C00000"/>
        </w:rPr>
      </w:pPr>
      <w:r w:rsidRPr="00AE6923">
        <w:rPr>
          <w:rFonts w:ascii="Calibri" w:hAnsi="Calibri" w:cs="Calibri"/>
          <w:color w:val="C00000"/>
        </w:rPr>
        <w:t xml:space="preserve">Dette nette/EBITDA : seuil bas −5x, haut 0x, mais on normalise </w:t>
      </w:r>
      <w:r w:rsidRPr="00AE6923">
        <w:rPr>
          <w:rFonts w:ascii="Calibri" w:hAnsi="Calibri" w:cs="Calibri"/>
          <w:b/>
          <w:bCs/>
          <w:color w:val="C00000"/>
        </w:rPr>
        <w:t>−valeur</w:t>
      </w:r>
      <w:r w:rsidRPr="00AE6923">
        <w:rPr>
          <w:rFonts w:ascii="Calibri" w:hAnsi="Calibri" w:cs="Calibri"/>
          <w:color w:val="C00000"/>
        </w:rPr>
        <w:t xml:space="preserve"> (donc moins de dette = score plus haut)</w:t>
      </w:r>
    </w:p>
    <w:p w14:paraId="68C2055F" w14:textId="77777777" w:rsidR="00AE6923" w:rsidRPr="00AE6923" w:rsidRDefault="00AE6923" w:rsidP="00AE6923">
      <w:pPr>
        <w:numPr>
          <w:ilvl w:val="0"/>
          <w:numId w:val="7"/>
        </w:numPr>
        <w:spacing w:after="160"/>
        <w:rPr>
          <w:rFonts w:ascii="Calibri" w:hAnsi="Calibri" w:cs="Calibri"/>
          <w:color w:val="C00000"/>
        </w:rPr>
      </w:pPr>
      <w:r w:rsidRPr="00AE6923">
        <w:rPr>
          <w:rFonts w:ascii="Calibri" w:hAnsi="Calibri" w:cs="Calibri"/>
          <w:color w:val="C00000"/>
        </w:rPr>
        <w:t>Couverture des intérêts : seuil bas 1x, haut 15x</w:t>
      </w:r>
    </w:p>
    <w:p w14:paraId="7654F728" w14:textId="77777777" w:rsidR="00AE6923" w:rsidRPr="00AE6923" w:rsidRDefault="00AE6923" w:rsidP="00AE6923">
      <w:pPr>
        <w:numPr>
          <w:ilvl w:val="0"/>
          <w:numId w:val="7"/>
        </w:numPr>
        <w:spacing w:after="160"/>
        <w:rPr>
          <w:rFonts w:ascii="Calibri" w:hAnsi="Calibri" w:cs="Calibri"/>
          <w:color w:val="C00000"/>
        </w:rPr>
      </w:pPr>
      <w:proofErr w:type="spellStart"/>
      <w:r w:rsidRPr="00AE6923">
        <w:rPr>
          <w:rFonts w:ascii="Calibri" w:hAnsi="Calibri" w:cs="Calibri"/>
          <w:color w:val="C00000"/>
        </w:rPr>
        <w:t>Current</w:t>
      </w:r>
      <w:proofErr w:type="spellEnd"/>
      <w:r w:rsidRPr="00AE6923">
        <w:rPr>
          <w:rFonts w:ascii="Calibri" w:hAnsi="Calibri" w:cs="Calibri"/>
          <w:color w:val="C00000"/>
        </w:rPr>
        <w:t xml:space="preserve"> ratio : seuil bas 0,8, haut 2,5</w:t>
      </w:r>
    </w:p>
    <w:p w14:paraId="349ABE15" w14:textId="77777777" w:rsidR="00AE6923" w:rsidRPr="00AE6923" w:rsidRDefault="00AE6923" w:rsidP="00AE6923">
      <w:pPr>
        <w:spacing w:after="160"/>
        <w:rPr>
          <w:rFonts w:ascii="Calibri" w:hAnsi="Calibri" w:cs="Calibri"/>
          <w:color w:val="C00000"/>
        </w:rPr>
      </w:pPr>
      <w:r w:rsidRPr="00AE6923">
        <w:rPr>
          <w:rFonts w:ascii="Calibri" w:hAnsi="Calibri" w:cs="Calibri"/>
          <w:color w:val="C00000"/>
        </w:rPr>
        <w:t xml:space="preserve">Exemple : dette nette/EBITDA = −1,5x (trésorerie nette), couverture = 25x, </w:t>
      </w:r>
      <w:proofErr w:type="spellStart"/>
      <w:r w:rsidRPr="00AE6923">
        <w:rPr>
          <w:rFonts w:ascii="Calibri" w:hAnsi="Calibri" w:cs="Calibri"/>
          <w:color w:val="C00000"/>
        </w:rPr>
        <w:t>current</w:t>
      </w:r>
      <w:proofErr w:type="spellEnd"/>
      <w:r w:rsidRPr="00AE6923">
        <w:rPr>
          <w:rFonts w:ascii="Calibri" w:hAnsi="Calibri" w:cs="Calibri"/>
          <w:color w:val="C00000"/>
        </w:rPr>
        <w:t xml:space="preserve"> ratio = 3,5</w:t>
      </w:r>
    </w:p>
    <w:p w14:paraId="2F7AEB8B" w14:textId="77777777" w:rsidR="00AE6923" w:rsidRPr="00AE6923" w:rsidRDefault="00AE6923" w:rsidP="00AE6923">
      <w:pPr>
        <w:numPr>
          <w:ilvl w:val="0"/>
          <w:numId w:val="8"/>
        </w:numPr>
        <w:spacing w:after="160"/>
        <w:rPr>
          <w:rFonts w:ascii="Calibri" w:hAnsi="Calibri" w:cs="Calibri"/>
          <w:color w:val="C00000"/>
        </w:rPr>
      </w:pPr>
      <w:r w:rsidRPr="00AE6923">
        <w:rPr>
          <w:rFonts w:ascii="Calibri" w:hAnsi="Calibri" w:cs="Calibri"/>
          <w:color w:val="C00000"/>
        </w:rPr>
        <w:t>Dette : on normalise (−(−1,5)) = 1,5 → (1,5−(−5</w:t>
      </w:r>
      <w:proofErr w:type="gramStart"/>
      <w:r w:rsidRPr="00AE6923">
        <w:rPr>
          <w:rFonts w:ascii="Calibri" w:hAnsi="Calibri" w:cs="Calibri"/>
          <w:color w:val="C00000"/>
        </w:rPr>
        <w:t>))/</w:t>
      </w:r>
      <w:proofErr w:type="gramEnd"/>
      <w:r w:rsidRPr="00AE6923">
        <w:rPr>
          <w:rFonts w:ascii="Calibri" w:hAnsi="Calibri" w:cs="Calibri"/>
          <w:color w:val="C00000"/>
        </w:rPr>
        <w:t>(0−(−5))×100 = 130 → écrêté à 100</w:t>
      </w:r>
    </w:p>
    <w:p w14:paraId="19AB0B04" w14:textId="77777777" w:rsidR="00AE6923" w:rsidRPr="00AE6923" w:rsidRDefault="00AE6923" w:rsidP="00AE6923">
      <w:pPr>
        <w:numPr>
          <w:ilvl w:val="0"/>
          <w:numId w:val="8"/>
        </w:numPr>
        <w:spacing w:after="160"/>
        <w:rPr>
          <w:rFonts w:ascii="Calibri" w:hAnsi="Calibri" w:cs="Calibri"/>
          <w:color w:val="C00000"/>
        </w:rPr>
      </w:pPr>
      <w:r w:rsidRPr="00AE6923">
        <w:rPr>
          <w:rFonts w:ascii="Calibri" w:hAnsi="Calibri" w:cs="Calibri"/>
          <w:color w:val="C00000"/>
        </w:rPr>
        <w:t>Couverture : (25−</w:t>
      </w:r>
      <w:proofErr w:type="gramStart"/>
      <w:r w:rsidRPr="00AE6923">
        <w:rPr>
          <w:rFonts w:ascii="Calibri" w:hAnsi="Calibri" w:cs="Calibri"/>
          <w:color w:val="C00000"/>
        </w:rPr>
        <w:t>1)/</w:t>
      </w:r>
      <w:proofErr w:type="gramEnd"/>
      <w:r w:rsidRPr="00AE6923">
        <w:rPr>
          <w:rFonts w:ascii="Calibri" w:hAnsi="Calibri" w:cs="Calibri"/>
          <w:color w:val="C00000"/>
        </w:rPr>
        <w:t>(15−1)×100 = 171,4 → écrêté à 100</w:t>
      </w:r>
    </w:p>
    <w:p w14:paraId="51D251EC" w14:textId="77777777" w:rsidR="00AE6923" w:rsidRPr="00AE6923" w:rsidRDefault="00AE6923" w:rsidP="00AE6923">
      <w:pPr>
        <w:numPr>
          <w:ilvl w:val="0"/>
          <w:numId w:val="8"/>
        </w:numPr>
        <w:spacing w:after="160"/>
        <w:rPr>
          <w:rFonts w:ascii="Calibri" w:hAnsi="Calibri" w:cs="Calibri"/>
          <w:color w:val="C00000"/>
        </w:rPr>
      </w:pPr>
      <w:proofErr w:type="spellStart"/>
      <w:r w:rsidRPr="00AE6923">
        <w:rPr>
          <w:rFonts w:ascii="Calibri" w:hAnsi="Calibri" w:cs="Calibri"/>
          <w:color w:val="C00000"/>
        </w:rPr>
        <w:t>Current</w:t>
      </w:r>
      <w:proofErr w:type="spellEnd"/>
      <w:r w:rsidRPr="00AE6923">
        <w:rPr>
          <w:rFonts w:ascii="Calibri" w:hAnsi="Calibri" w:cs="Calibri"/>
          <w:color w:val="C00000"/>
        </w:rPr>
        <w:t xml:space="preserve"> ratio : (3,5−0,</w:t>
      </w:r>
      <w:proofErr w:type="gramStart"/>
      <w:r w:rsidRPr="00AE6923">
        <w:rPr>
          <w:rFonts w:ascii="Calibri" w:hAnsi="Calibri" w:cs="Calibri"/>
          <w:color w:val="C00000"/>
        </w:rPr>
        <w:t>8)/</w:t>
      </w:r>
      <w:proofErr w:type="gramEnd"/>
      <w:r w:rsidRPr="00AE6923">
        <w:rPr>
          <w:rFonts w:ascii="Calibri" w:hAnsi="Calibri" w:cs="Calibri"/>
          <w:color w:val="C00000"/>
        </w:rPr>
        <w:t>(2,5−0,8)×100 = 158,8 → écrêté à 100</w:t>
      </w:r>
    </w:p>
    <w:p w14:paraId="490B3C64" w14:textId="0C9DB0CA" w:rsidR="00AE6923" w:rsidRPr="00AE6923" w:rsidRDefault="00AE6923" w:rsidP="00AE6923">
      <w:pPr>
        <w:spacing w:after="160"/>
        <w:rPr>
          <w:rFonts w:ascii="Calibri" w:hAnsi="Calibri" w:cs="Calibri"/>
          <w:color w:val="C00000"/>
        </w:rPr>
      </w:pPr>
      <w:r w:rsidRPr="00AE6923">
        <w:rPr>
          <w:rFonts w:ascii="Calibri" w:hAnsi="Calibri" w:cs="Calibri"/>
          <w:color w:val="C00000"/>
        </w:rPr>
        <w:t>Score bilan = (100+100+</w:t>
      </w:r>
      <w:proofErr w:type="gramStart"/>
      <w:r w:rsidRPr="00AE6923">
        <w:rPr>
          <w:rFonts w:ascii="Calibri" w:hAnsi="Calibri" w:cs="Calibri"/>
          <w:color w:val="C00000"/>
        </w:rPr>
        <w:t>100)/</w:t>
      </w:r>
      <w:proofErr w:type="gramEnd"/>
      <w:r w:rsidRPr="00AE6923">
        <w:rPr>
          <w:rFonts w:ascii="Calibri" w:hAnsi="Calibri" w:cs="Calibri"/>
          <w:color w:val="C00000"/>
        </w:rPr>
        <w:t xml:space="preserve">3 = </w:t>
      </w:r>
      <w:r w:rsidRPr="00AE6923">
        <w:rPr>
          <w:rFonts w:ascii="Calibri" w:hAnsi="Calibri" w:cs="Calibri"/>
          <w:b/>
          <w:bCs/>
          <w:color w:val="C00000"/>
        </w:rPr>
        <w:t>100,0</w:t>
      </w:r>
    </w:p>
    <w:p w14:paraId="283262BE" w14:textId="77777777" w:rsidR="008D11E6" w:rsidRPr="00AE6923" w:rsidRDefault="00AE6923">
      <w:pPr>
        <w:pStyle w:val="Titre2"/>
        <w:spacing w:before="300" w:after="150"/>
        <w:rPr>
          <w:rFonts w:ascii="Calibri" w:hAnsi="Calibri" w:cs="Calibri"/>
        </w:rPr>
      </w:pPr>
      <w:r w:rsidRPr="00AE6923">
        <w:rPr>
          <w:rFonts w:ascii="Calibri" w:hAnsi="Calibri" w:cs="Calibri"/>
        </w:rPr>
        <w:t>2.4 Génération de cash</w:t>
      </w:r>
    </w:p>
    <w:p w14:paraId="3002E5AC" w14:textId="77777777" w:rsidR="008D11E6" w:rsidRPr="00AE6923" w:rsidRDefault="00AE6923">
      <w:pPr>
        <w:spacing w:after="160"/>
        <w:rPr>
          <w:rFonts w:ascii="Calibri" w:hAnsi="Calibri" w:cs="Calibri"/>
        </w:rPr>
      </w:pPr>
      <w:r w:rsidRPr="00AE6923">
        <w:rPr>
          <w:rFonts w:ascii="Calibri" w:hAnsi="Calibri" w:cs="Calibri"/>
        </w:rPr>
        <w:t xml:space="preserve">Vérifie que le résultat comptable se traduit effectivement en trésorerie disponible, via le taux de conversion du résultat net en free </w:t>
      </w:r>
      <w:proofErr w:type="spellStart"/>
      <w:r w:rsidRPr="00AE6923">
        <w:rPr>
          <w:rFonts w:ascii="Calibri" w:hAnsi="Calibri" w:cs="Calibri"/>
        </w:rPr>
        <w:t>cash flow</w:t>
      </w:r>
      <w:proofErr w:type="spellEnd"/>
      <w:r w:rsidRPr="00AE6923">
        <w:rPr>
          <w:rFonts w:ascii="Calibri" w:hAnsi="Calibri" w:cs="Calibri"/>
        </w:rPr>
        <w:t xml:space="preserve"> et la marge de FCF. Un résultat net qui ne se convertit pas en cash est un signal d'alerte classique sur la qualité des bénéfices affichés.</w:t>
      </w:r>
    </w:p>
    <w:p w14:paraId="73230129" w14:textId="5003D4F9" w:rsidR="00AE6923" w:rsidRPr="00AE6923" w:rsidRDefault="00AE6923" w:rsidP="00AE6923">
      <w:pPr>
        <w:spacing w:after="160"/>
        <w:rPr>
          <w:rFonts w:ascii="Calibri" w:hAnsi="Calibri" w:cs="Calibri"/>
          <w:color w:val="C00000"/>
        </w:rPr>
      </w:pPr>
      <w:r w:rsidRPr="00AE6923">
        <w:rPr>
          <w:rFonts w:ascii="Calibri" w:hAnsi="Calibri" w:cs="Calibri"/>
          <w:color w:val="C00000"/>
        </w:rPr>
        <w:t xml:space="preserve">EXEMPLE </w:t>
      </w:r>
      <w:r w:rsidRPr="00AE6923">
        <w:rPr>
          <w:rFonts w:ascii="Calibri" w:hAnsi="Calibri" w:cs="Calibri"/>
          <w:b/>
          <w:bCs/>
          <w:color w:val="C00000"/>
        </w:rPr>
        <w:t>Génération de cash</w:t>
      </w:r>
      <w:r w:rsidRPr="00AE6923">
        <w:rPr>
          <w:rFonts w:ascii="Calibri" w:hAnsi="Calibri" w:cs="Calibri"/>
          <w:color w:val="C00000"/>
        </w:rPr>
        <w:t xml:space="preserve"> (moyenne de 2 composantes)</w:t>
      </w:r>
    </w:p>
    <w:p w14:paraId="20F082C6" w14:textId="77777777" w:rsidR="00AE6923" w:rsidRPr="00AE6923" w:rsidRDefault="00AE6923" w:rsidP="00AE6923">
      <w:pPr>
        <w:numPr>
          <w:ilvl w:val="0"/>
          <w:numId w:val="9"/>
        </w:numPr>
        <w:spacing w:after="160"/>
        <w:rPr>
          <w:rFonts w:ascii="Calibri" w:hAnsi="Calibri" w:cs="Calibri"/>
          <w:color w:val="C00000"/>
        </w:rPr>
      </w:pPr>
      <w:r w:rsidRPr="00AE6923">
        <w:rPr>
          <w:rFonts w:ascii="Calibri" w:hAnsi="Calibri" w:cs="Calibri"/>
          <w:color w:val="C00000"/>
        </w:rPr>
        <w:t>Conversion FCF/résultat net : seuil bas 0,3, haut 1,3</w:t>
      </w:r>
    </w:p>
    <w:p w14:paraId="45D5A997" w14:textId="77777777" w:rsidR="00AE6923" w:rsidRPr="00AE6923" w:rsidRDefault="00AE6923" w:rsidP="00AE6923">
      <w:pPr>
        <w:numPr>
          <w:ilvl w:val="0"/>
          <w:numId w:val="9"/>
        </w:numPr>
        <w:spacing w:after="160"/>
        <w:rPr>
          <w:rFonts w:ascii="Calibri" w:hAnsi="Calibri" w:cs="Calibri"/>
          <w:color w:val="C00000"/>
        </w:rPr>
      </w:pPr>
      <w:r w:rsidRPr="00AE6923">
        <w:rPr>
          <w:rFonts w:ascii="Calibri" w:hAnsi="Calibri" w:cs="Calibri"/>
          <w:color w:val="C00000"/>
        </w:rPr>
        <w:t>Marge de FCF : seuil bas 0%, haut 25%</w:t>
      </w:r>
    </w:p>
    <w:p w14:paraId="30D7E085" w14:textId="77777777" w:rsidR="00AE6923" w:rsidRPr="00AE6923" w:rsidRDefault="00AE6923" w:rsidP="00AE6923">
      <w:pPr>
        <w:spacing w:after="160"/>
        <w:rPr>
          <w:rFonts w:ascii="Calibri" w:hAnsi="Calibri" w:cs="Calibri"/>
          <w:color w:val="C00000"/>
        </w:rPr>
      </w:pPr>
      <w:r w:rsidRPr="00AE6923">
        <w:rPr>
          <w:rFonts w:ascii="Calibri" w:hAnsi="Calibri" w:cs="Calibri"/>
          <w:color w:val="C00000"/>
        </w:rPr>
        <w:t>Exemple : FCF = 800M€, résultat net = 500M€ (conversion = 1,6), marge FCF = 28%</w:t>
      </w:r>
    </w:p>
    <w:p w14:paraId="64CD1FE9" w14:textId="77777777" w:rsidR="00AE6923" w:rsidRPr="00AE6923" w:rsidRDefault="00AE6923" w:rsidP="00AE6923">
      <w:pPr>
        <w:numPr>
          <w:ilvl w:val="0"/>
          <w:numId w:val="10"/>
        </w:numPr>
        <w:spacing w:after="160"/>
        <w:rPr>
          <w:rFonts w:ascii="Calibri" w:hAnsi="Calibri" w:cs="Calibri"/>
          <w:color w:val="C00000"/>
        </w:rPr>
      </w:pPr>
      <w:r w:rsidRPr="00AE6923">
        <w:rPr>
          <w:rFonts w:ascii="Calibri" w:hAnsi="Calibri" w:cs="Calibri"/>
          <w:color w:val="C00000"/>
        </w:rPr>
        <w:t>Conversion : (1,6−0,</w:t>
      </w:r>
      <w:proofErr w:type="gramStart"/>
      <w:r w:rsidRPr="00AE6923">
        <w:rPr>
          <w:rFonts w:ascii="Calibri" w:hAnsi="Calibri" w:cs="Calibri"/>
          <w:color w:val="C00000"/>
        </w:rPr>
        <w:t>3)/</w:t>
      </w:r>
      <w:proofErr w:type="gramEnd"/>
      <w:r w:rsidRPr="00AE6923">
        <w:rPr>
          <w:rFonts w:ascii="Calibri" w:hAnsi="Calibri" w:cs="Calibri"/>
          <w:color w:val="C00000"/>
        </w:rPr>
        <w:t>(1,3−0,3)×100 = 130 → écrêté à 100</w:t>
      </w:r>
    </w:p>
    <w:p w14:paraId="2C4E266E" w14:textId="77777777" w:rsidR="00AE6923" w:rsidRPr="00AE6923" w:rsidRDefault="00AE6923" w:rsidP="00AE6923">
      <w:pPr>
        <w:numPr>
          <w:ilvl w:val="0"/>
          <w:numId w:val="10"/>
        </w:numPr>
        <w:spacing w:after="160"/>
        <w:rPr>
          <w:rFonts w:ascii="Calibri" w:hAnsi="Calibri" w:cs="Calibri"/>
          <w:color w:val="C00000"/>
        </w:rPr>
      </w:pPr>
      <w:r w:rsidRPr="00AE6923">
        <w:rPr>
          <w:rFonts w:ascii="Calibri" w:hAnsi="Calibri" w:cs="Calibri"/>
          <w:color w:val="C00000"/>
        </w:rPr>
        <w:t>Marge FCF : (0,28−</w:t>
      </w:r>
      <w:proofErr w:type="gramStart"/>
      <w:r w:rsidRPr="00AE6923">
        <w:rPr>
          <w:rFonts w:ascii="Calibri" w:hAnsi="Calibri" w:cs="Calibri"/>
          <w:color w:val="C00000"/>
        </w:rPr>
        <w:t>0)/</w:t>
      </w:r>
      <w:proofErr w:type="gramEnd"/>
      <w:r w:rsidRPr="00AE6923">
        <w:rPr>
          <w:rFonts w:ascii="Calibri" w:hAnsi="Calibri" w:cs="Calibri"/>
          <w:color w:val="C00000"/>
        </w:rPr>
        <w:t>(0,25−0)×100 = 112 → écrêté à 100</w:t>
      </w:r>
    </w:p>
    <w:p w14:paraId="7F8C48BC" w14:textId="3E0E26F4" w:rsidR="00AE6923" w:rsidRPr="00AE6923" w:rsidRDefault="00AE6923">
      <w:pPr>
        <w:spacing w:after="160"/>
        <w:rPr>
          <w:rFonts w:ascii="Calibri" w:hAnsi="Calibri" w:cs="Calibri"/>
          <w:color w:val="C00000"/>
        </w:rPr>
      </w:pPr>
      <w:r w:rsidRPr="00AE6923">
        <w:rPr>
          <w:rFonts w:ascii="Calibri" w:hAnsi="Calibri" w:cs="Calibri"/>
          <w:color w:val="C00000"/>
        </w:rPr>
        <w:t>Score cash = (100+</w:t>
      </w:r>
      <w:proofErr w:type="gramStart"/>
      <w:r w:rsidRPr="00AE6923">
        <w:rPr>
          <w:rFonts w:ascii="Calibri" w:hAnsi="Calibri" w:cs="Calibri"/>
          <w:color w:val="C00000"/>
        </w:rPr>
        <w:t>100)/</w:t>
      </w:r>
      <w:proofErr w:type="gramEnd"/>
      <w:r w:rsidRPr="00AE6923">
        <w:rPr>
          <w:rFonts w:ascii="Calibri" w:hAnsi="Calibri" w:cs="Calibri"/>
          <w:color w:val="C00000"/>
        </w:rPr>
        <w:t xml:space="preserve">2 = </w:t>
      </w:r>
      <w:r w:rsidRPr="00AE6923">
        <w:rPr>
          <w:rFonts w:ascii="Calibri" w:hAnsi="Calibri" w:cs="Calibri"/>
          <w:b/>
          <w:bCs/>
          <w:color w:val="C00000"/>
        </w:rPr>
        <w:t>100,0</w:t>
      </w:r>
    </w:p>
    <w:p w14:paraId="7A31B85E" w14:textId="77777777" w:rsidR="008D11E6" w:rsidRPr="00AE6923" w:rsidRDefault="00AE6923">
      <w:pPr>
        <w:pStyle w:val="Titre2"/>
        <w:spacing w:before="300" w:after="150"/>
        <w:rPr>
          <w:rFonts w:ascii="Calibri" w:hAnsi="Calibri" w:cs="Calibri"/>
        </w:rPr>
      </w:pPr>
      <w:r w:rsidRPr="00AE6923">
        <w:rPr>
          <w:rFonts w:ascii="Calibri" w:hAnsi="Calibri" w:cs="Calibri"/>
        </w:rPr>
        <w:t xml:space="preserve">2.5 Proxy de </w:t>
      </w:r>
      <w:proofErr w:type="spellStart"/>
      <w:r w:rsidRPr="00AE6923">
        <w:rPr>
          <w:rFonts w:ascii="Calibri" w:hAnsi="Calibri" w:cs="Calibri"/>
        </w:rPr>
        <w:t>moat</w:t>
      </w:r>
      <w:proofErr w:type="spellEnd"/>
      <w:r w:rsidRPr="00AE6923">
        <w:rPr>
          <w:rFonts w:ascii="Calibri" w:hAnsi="Calibri" w:cs="Calibri"/>
        </w:rPr>
        <w:t xml:space="preserve"> (avantage concurrentiel)</w:t>
      </w:r>
    </w:p>
    <w:p w14:paraId="607AF9E3" w14:textId="77777777" w:rsidR="008D11E6" w:rsidRPr="00AE6923" w:rsidRDefault="00AE6923">
      <w:pPr>
        <w:spacing w:after="160"/>
        <w:rPr>
          <w:rFonts w:ascii="Calibri" w:hAnsi="Calibri" w:cs="Calibri"/>
        </w:rPr>
      </w:pPr>
      <w:r w:rsidRPr="00AE6923">
        <w:rPr>
          <w:rFonts w:ascii="Calibri" w:hAnsi="Calibri" w:cs="Calibri"/>
        </w:rPr>
        <w:lastRenderedPageBreak/>
        <w:t>Approche indirecte de l'avantage concurrentiel durable, mesurée par la stabilité de la marge brute dans le temps (écart-type sur un historique de 5 ans) et par la tendance du ROIC. Un avantage concurrentiel réel se traduit par une résistance à l'érosion des marges sous la pression concurrentielle, plutôt que par un niveau de marge élevé à un instant donné.</w:t>
      </w:r>
    </w:p>
    <w:p w14:paraId="4165D233" w14:textId="77777777" w:rsidR="00AE6923" w:rsidRPr="00AE6923" w:rsidRDefault="00AE6923" w:rsidP="00AE6923">
      <w:pPr>
        <w:spacing w:after="160"/>
        <w:rPr>
          <w:rFonts w:ascii="Calibri" w:hAnsi="Calibri" w:cs="Calibri"/>
          <w:color w:val="C00000"/>
        </w:rPr>
      </w:pPr>
      <w:r w:rsidRPr="00AE6923">
        <w:rPr>
          <w:rFonts w:ascii="Calibri" w:hAnsi="Calibri" w:cs="Calibri"/>
          <w:b/>
          <w:bCs/>
          <w:color w:val="C00000"/>
        </w:rPr>
        <w:t xml:space="preserve">Proxy de </w:t>
      </w:r>
      <w:proofErr w:type="spellStart"/>
      <w:r w:rsidRPr="00AE6923">
        <w:rPr>
          <w:rFonts w:ascii="Calibri" w:hAnsi="Calibri" w:cs="Calibri"/>
          <w:b/>
          <w:bCs/>
          <w:color w:val="C00000"/>
        </w:rPr>
        <w:t>moat</w:t>
      </w:r>
      <w:proofErr w:type="spellEnd"/>
      <w:r w:rsidRPr="00AE6923">
        <w:rPr>
          <w:rFonts w:ascii="Calibri" w:hAnsi="Calibri" w:cs="Calibri"/>
          <w:color w:val="C00000"/>
        </w:rPr>
        <w:t xml:space="preserve"> (moyenne de 2 composantes)</w:t>
      </w:r>
    </w:p>
    <w:p w14:paraId="7A3DCA63" w14:textId="77777777" w:rsidR="00AE6923" w:rsidRPr="00AE6923" w:rsidRDefault="00AE6923" w:rsidP="00AE6923">
      <w:pPr>
        <w:numPr>
          <w:ilvl w:val="0"/>
          <w:numId w:val="11"/>
        </w:numPr>
        <w:spacing w:after="160"/>
        <w:rPr>
          <w:rFonts w:ascii="Calibri" w:hAnsi="Calibri" w:cs="Calibri"/>
          <w:color w:val="C00000"/>
        </w:rPr>
      </w:pPr>
      <w:r w:rsidRPr="00AE6923">
        <w:rPr>
          <w:rFonts w:ascii="Calibri" w:hAnsi="Calibri" w:cs="Calibri"/>
          <w:color w:val="C00000"/>
        </w:rPr>
        <w:t>Écart-type de la marge brute sur 5 ans : seuil bas −8%, haut 0% (normalisé négativement — moins de volatilité = mieux)</w:t>
      </w:r>
    </w:p>
    <w:p w14:paraId="2F8A2C54" w14:textId="77777777" w:rsidR="00AE6923" w:rsidRPr="00AE6923" w:rsidRDefault="00AE6923" w:rsidP="00AE6923">
      <w:pPr>
        <w:numPr>
          <w:ilvl w:val="0"/>
          <w:numId w:val="11"/>
        </w:numPr>
        <w:spacing w:after="160"/>
        <w:rPr>
          <w:rFonts w:ascii="Calibri" w:hAnsi="Calibri" w:cs="Calibri"/>
          <w:color w:val="C00000"/>
        </w:rPr>
      </w:pPr>
      <w:r w:rsidRPr="00AE6923">
        <w:rPr>
          <w:rFonts w:ascii="Calibri" w:hAnsi="Calibri" w:cs="Calibri"/>
          <w:color w:val="C00000"/>
        </w:rPr>
        <w:t>Tendance ROIC (dernier − premier) : seuil bas −5%, haut +5%</w:t>
      </w:r>
    </w:p>
    <w:p w14:paraId="62D36FCD" w14:textId="77777777" w:rsidR="00AE6923" w:rsidRPr="00AE6923" w:rsidRDefault="00AE6923" w:rsidP="00AE6923">
      <w:pPr>
        <w:spacing w:after="160"/>
        <w:rPr>
          <w:rFonts w:ascii="Calibri" w:hAnsi="Calibri" w:cs="Calibri"/>
          <w:color w:val="C00000"/>
        </w:rPr>
      </w:pPr>
      <w:r w:rsidRPr="00AE6923">
        <w:rPr>
          <w:rFonts w:ascii="Calibri" w:hAnsi="Calibri" w:cs="Calibri"/>
          <w:color w:val="C00000"/>
        </w:rPr>
        <w:t>Exemple : marges brutes [78%,79%,79%,80%,80%] → écart-type ≈ 0,74% ; ROIC [4%,6%,8%,9%,10%] → tendance = +6%</w:t>
      </w:r>
    </w:p>
    <w:p w14:paraId="6474EAC8" w14:textId="77777777" w:rsidR="00AE6923" w:rsidRPr="00AE6923" w:rsidRDefault="00AE6923" w:rsidP="00AE6923">
      <w:pPr>
        <w:numPr>
          <w:ilvl w:val="0"/>
          <w:numId w:val="12"/>
        </w:numPr>
        <w:spacing w:after="160"/>
        <w:rPr>
          <w:rFonts w:ascii="Calibri" w:hAnsi="Calibri" w:cs="Calibri"/>
          <w:color w:val="C00000"/>
        </w:rPr>
      </w:pPr>
      <w:r w:rsidRPr="00AE6923">
        <w:rPr>
          <w:rFonts w:ascii="Calibri" w:hAnsi="Calibri" w:cs="Calibri"/>
          <w:color w:val="C00000"/>
        </w:rPr>
        <w:t>Stabilité : (−0,0074−(−0,08</w:t>
      </w:r>
      <w:proofErr w:type="gramStart"/>
      <w:r w:rsidRPr="00AE6923">
        <w:rPr>
          <w:rFonts w:ascii="Calibri" w:hAnsi="Calibri" w:cs="Calibri"/>
          <w:color w:val="C00000"/>
        </w:rPr>
        <w:t>))/</w:t>
      </w:r>
      <w:proofErr w:type="gramEnd"/>
      <w:r w:rsidRPr="00AE6923">
        <w:rPr>
          <w:rFonts w:ascii="Calibri" w:hAnsi="Calibri" w:cs="Calibri"/>
          <w:color w:val="C00000"/>
        </w:rPr>
        <w:t>(0−(−0,08))×100 = 90,8</w:t>
      </w:r>
    </w:p>
    <w:p w14:paraId="745FD64A" w14:textId="77777777" w:rsidR="00AE6923" w:rsidRPr="00AE6923" w:rsidRDefault="00AE6923" w:rsidP="00AE6923">
      <w:pPr>
        <w:numPr>
          <w:ilvl w:val="0"/>
          <w:numId w:val="12"/>
        </w:numPr>
        <w:spacing w:after="160"/>
        <w:rPr>
          <w:rFonts w:ascii="Calibri" w:hAnsi="Calibri" w:cs="Calibri"/>
          <w:color w:val="C00000"/>
        </w:rPr>
      </w:pPr>
      <w:r w:rsidRPr="00AE6923">
        <w:rPr>
          <w:rFonts w:ascii="Calibri" w:hAnsi="Calibri" w:cs="Calibri"/>
          <w:color w:val="C00000"/>
        </w:rPr>
        <w:t>Tendance : (0,06−(−0,05</w:t>
      </w:r>
      <w:proofErr w:type="gramStart"/>
      <w:r w:rsidRPr="00AE6923">
        <w:rPr>
          <w:rFonts w:ascii="Calibri" w:hAnsi="Calibri" w:cs="Calibri"/>
          <w:color w:val="C00000"/>
        </w:rPr>
        <w:t>))/</w:t>
      </w:r>
      <w:proofErr w:type="gramEnd"/>
      <w:r w:rsidRPr="00AE6923">
        <w:rPr>
          <w:rFonts w:ascii="Calibri" w:hAnsi="Calibri" w:cs="Calibri"/>
          <w:color w:val="C00000"/>
        </w:rPr>
        <w:t>(0,05−(−0,05))×100 = 110 → écrêté à 100</w:t>
      </w:r>
    </w:p>
    <w:p w14:paraId="56E47942" w14:textId="5629ABE0" w:rsidR="00AE6923" w:rsidRPr="00AE6923" w:rsidRDefault="00AE6923">
      <w:pPr>
        <w:spacing w:after="160"/>
        <w:rPr>
          <w:rFonts w:ascii="Calibri" w:hAnsi="Calibri" w:cs="Calibri"/>
          <w:color w:val="C00000"/>
        </w:rPr>
      </w:pPr>
      <w:r w:rsidRPr="00AE6923">
        <w:rPr>
          <w:rFonts w:ascii="Calibri" w:hAnsi="Calibri" w:cs="Calibri"/>
          <w:color w:val="C00000"/>
        </w:rPr>
        <w:t xml:space="preserve">Score </w:t>
      </w:r>
      <w:proofErr w:type="spellStart"/>
      <w:r w:rsidRPr="00AE6923">
        <w:rPr>
          <w:rFonts w:ascii="Calibri" w:hAnsi="Calibri" w:cs="Calibri"/>
          <w:color w:val="C00000"/>
        </w:rPr>
        <w:t>moat</w:t>
      </w:r>
      <w:proofErr w:type="spellEnd"/>
      <w:r w:rsidRPr="00AE6923">
        <w:rPr>
          <w:rFonts w:ascii="Calibri" w:hAnsi="Calibri" w:cs="Calibri"/>
          <w:color w:val="C00000"/>
        </w:rPr>
        <w:t xml:space="preserve"> = (90,8+</w:t>
      </w:r>
      <w:proofErr w:type="gramStart"/>
      <w:r w:rsidRPr="00AE6923">
        <w:rPr>
          <w:rFonts w:ascii="Calibri" w:hAnsi="Calibri" w:cs="Calibri"/>
          <w:color w:val="C00000"/>
        </w:rPr>
        <w:t>100)/</w:t>
      </w:r>
      <w:proofErr w:type="gramEnd"/>
      <w:r w:rsidRPr="00AE6923">
        <w:rPr>
          <w:rFonts w:ascii="Calibri" w:hAnsi="Calibri" w:cs="Calibri"/>
          <w:color w:val="C00000"/>
        </w:rPr>
        <w:t xml:space="preserve">2 = </w:t>
      </w:r>
      <w:r w:rsidRPr="00AE6923">
        <w:rPr>
          <w:rFonts w:ascii="Calibri" w:hAnsi="Calibri" w:cs="Calibri"/>
          <w:b/>
          <w:bCs/>
          <w:color w:val="C00000"/>
        </w:rPr>
        <w:t>95,4</w:t>
      </w:r>
    </w:p>
    <w:p w14:paraId="68D17086" w14:textId="77777777" w:rsidR="008D11E6" w:rsidRPr="00AE6923" w:rsidRDefault="00AE6923">
      <w:pPr>
        <w:pStyle w:val="Titre1"/>
        <w:spacing w:before="400" w:after="200"/>
        <w:rPr>
          <w:rFonts w:ascii="Calibri" w:hAnsi="Calibri" w:cs="Calibri"/>
        </w:rPr>
      </w:pPr>
      <w:r w:rsidRPr="00AE6923">
        <w:rPr>
          <w:rFonts w:ascii="Calibri" w:hAnsi="Calibri" w:cs="Calibri"/>
        </w:rPr>
        <w:t>3. Normalisation</w:t>
      </w:r>
    </w:p>
    <w:p w14:paraId="45D6B692" w14:textId="77777777" w:rsidR="008D11E6" w:rsidRPr="00AE6923" w:rsidRDefault="00AE6923">
      <w:pPr>
        <w:spacing w:after="160"/>
        <w:rPr>
          <w:rFonts w:ascii="Calibri" w:hAnsi="Calibri" w:cs="Calibri"/>
        </w:rPr>
      </w:pPr>
      <w:r w:rsidRPr="00AE6923">
        <w:rPr>
          <w:rFonts w:ascii="Calibri" w:hAnsi="Calibri" w:cs="Calibri"/>
        </w:rPr>
        <w:t>Chaque variable brute est ramenée sur une échelle de 0 à 100 par normalisation linéaire entre un seuil bas (score = 0) et un seuil haut (score = 100), avec écrêtage aux bornes. Les seuils actuels sont des points de départ génériques, définis à partir de références sectorielles usuelles ; ils devront être recalibrés par secteur d'activité une fois qu'un historique de données réel sera disponible, une entreprise financière et une biotech n'ayant ni les mêmes normes de dette, ni les mêmes structures de marge.</w:t>
      </w:r>
    </w:p>
    <w:p w14:paraId="5926DC79" w14:textId="77777777" w:rsidR="008D11E6" w:rsidRPr="00AE6923" w:rsidRDefault="00AE6923">
      <w:pPr>
        <w:spacing w:after="160"/>
        <w:rPr>
          <w:rFonts w:ascii="Calibri" w:hAnsi="Calibri" w:cs="Calibri"/>
        </w:rPr>
      </w:pPr>
      <w:r w:rsidRPr="00AE6923">
        <w:rPr>
          <w:rFonts w:ascii="Calibri" w:hAnsi="Calibri" w:cs="Calibri"/>
        </w:rPr>
        <w:t>Toute donnée manquante est conservée comme telle (valeur nulle) plutôt que remplacée par une estimation arbitraire. Le score composite se renormalise alors automatiquement sur les seuls sous-scores disponibles, et un indicateur de complétude des données accompagne chaque résultat pour signaler les scores calculés sur une base incomplète.</w:t>
      </w:r>
    </w:p>
    <w:p w14:paraId="42E4FB34" w14:textId="77777777" w:rsidR="008D11E6" w:rsidRPr="00AE6923" w:rsidRDefault="00AE6923">
      <w:pPr>
        <w:pStyle w:val="Titre1"/>
        <w:spacing w:before="400" w:after="200"/>
        <w:rPr>
          <w:rFonts w:ascii="Calibri" w:hAnsi="Calibri" w:cs="Calibri"/>
        </w:rPr>
      </w:pPr>
      <w:r w:rsidRPr="00AE6923">
        <w:rPr>
          <w:rFonts w:ascii="Calibri" w:hAnsi="Calibri" w:cs="Calibri"/>
        </w:rPr>
        <w:t>4. Score composite et pondération</w:t>
      </w:r>
    </w:p>
    <w:p w14:paraId="6585CD49" w14:textId="77777777" w:rsidR="008D11E6" w:rsidRPr="00AE6923" w:rsidRDefault="00AE6923">
      <w:pPr>
        <w:spacing w:after="160"/>
        <w:rPr>
          <w:rFonts w:ascii="Calibri" w:hAnsi="Calibri" w:cs="Calibri"/>
        </w:rPr>
      </w:pPr>
      <w:r w:rsidRPr="00AE6923">
        <w:rPr>
          <w:rFonts w:ascii="Calibri" w:hAnsi="Calibri" w:cs="Calibri"/>
        </w:rPr>
        <w:t xml:space="preserve">Les cinq sous-scores sont agrégés en un score composite unique via une moyenne pondérée. Les pondérations retenues à ce stade sont les suivantes, à titre de point de départ devant être validé par </w:t>
      </w:r>
      <w:proofErr w:type="spellStart"/>
      <w:r w:rsidRPr="00AE6923">
        <w:rPr>
          <w:rFonts w:ascii="Calibri" w:hAnsi="Calibri" w:cs="Calibri"/>
        </w:rPr>
        <w:t>backtesting</w:t>
      </w:r>
      <w:proofErr w:type="spellEnd"/>
      <w:r w:rsidRPr="00AE6923">
        <w:rPr>
          <w:rFonts w:ascii="Calibri" w:hAnsi="Calibri" w:cs="Calibri"/>
        </w:rPr>
        <w:t xml:space="preserve"> plutôt que considéré comme définitif :</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tblGrid>
      <w:tr w:rsidR="008D11E6" w:rsidRPr="00AE6923" w14:paraId="0AB284D1" w14:textId="77777777">
        <w:tblPrEx>
          <w:tblCellMar>
            <w:top w:w="0" w:type="dxa"/>
            <w:bottom w:w="0" w:type="dxa"/>
          </w:tblCellMar>
        </w:tblPrEx>
        <w:tc>
          <w:tcPr>
            <w:tcW w:w="3500" w:type="dxa"/>
            <w:shd w:val="clear" w:color="auto" w:fill="1F4E5F"/>
          </w:tcPr>
          <w:p w14:paraId="592149BA" w14:textId="77777777" w:rsidR="008D11E6" w:rsidRPr="00AE6923" w:rsidRDefault="00AE6923">
            <w:pPr>
              <w:rPr>
                <w:rFonts w:ascii="Calibri" w:hAnsi="Calibri" w:cs="Calibri"/>
              </w:rPr>
            </w:pPr>
            <w:r w:rsidRPr="00AE6923">
              <w:rPr>
                <w:rFonts w:ascii="Calibri" w:hAnsi="Calibri" w:cs="Calibri"/>
                <w:b/>
                <w:bCs/>
                <w:color w:val="FFFFFF"/>
              </w:rPr>
              <w:t>Sous-score</w:t>
            </w:r>
          </w:p>
        </w:tc>
        <w:tc>
          <w:tcPr>
            <w:tcW w:w="2000" w:type="dxa"/>
            <w:shd w:val="clear" w:color="auto" w:fill="1F4E5F"/>
          </w:tcPr>
          <w:p w14:paraId="6D164719" w14:textId="77777777" w:rsidR="008D11E6" w:rsidRPr="00AE6923" w:rsidRDefault="00AE6923">
            <w:pPr>
              <w:rPr>
                <w:rFonts w:ascii="Calibri" w:hAnsi="Calibri" w:cs="Calibri"/>
              </w:rPr>
            </w:pPr>
            <w:r w:rsidRPr="00AE6923">
              <w:rPr>
                <w:rFonts w:ascii="Calibri" w:hAnsi="Calibri" w:cs="Calibri"/>
                <w:b/>
                <w:bCs/>
                <w:color w:val="FFFFFF"/>
              </w:rPr>
              <w:t>Pondération</w:t>
            </w:r>
          </w:p>
        </w:tc>
      </w:tr>
      <w:tr w:rsidR="008D11E6" w:rsidRPr="00AE6923" w14:paraId="59A7EC27" w14:textId="77777777">
        <w:tblPrEx>
          <w:tblCellMar>
            <w:top w:w="0" w:type="dxa"/>
            <w:bottom w:w="0" w:type="dxa"/>
          </w:tblCellMar>
        </w:tblPrEx>
        <w:tc>
          <w:tcPr>
            <w:tcW w:w="3500" w:type="dxa"/>
          </w:tcPr>
          <w:p w14:paraId="7D9E0DC7" w14:textId="77777777" w:rsidR="008D11E6" w:rsidRPr="00AE6923" w:rsidRDefault="00AE6923">
            <w:pPr>
              <w:rPr>
                <w:rFonts w:ascii="Calibri" w:hAnsi="Calibri" w:cs="Calibri"/>
              </w:rPr>
            </w:pPr>
            <w:r w:rsidRPr="00AE6923">
              <w:rPr>
                <w:rFonts w:ascii="Calibri" w:hAnsi="Calibri" w:cs="Calibri"/>
              </w:rPr>
              <w:t>Croissance</w:t>
            </w:r>
          </w:p>
        </w:tc>
        <w:tc>
          <w:tcPr>
            <w:tcW w:w="2000" w:type="dxa"/>
          </w:tcPr>
          <w:p w14:paraId="338392EA" w14:textId="77777777" w:rsidR="008D11E6" w:rsidRPr="00AE6923" w:rsidRDefault="00AE6923">
            <w:pPr>
              <w:rPr>
                <w:rFonts w:ascii="Calibri" w:hAnsi="Calibri" w:cs="Calibri"/>
              </w:rPr>
            </w:pPr>
            <w:r w:rsidRPr="00AE6923">
              <w:rPr>
                <w:rFonts w:ascii="Calibri" w:hAnsi="Calibri" w:cs="Calibri"/>
              </w:rPr>
              <w:t>20 %</w:t>
            </w:r>
          </w:p>
        </w:tc>
      </w:tr>
      <w:tr w:rsidR="008D11E6" w:rsidRPr="00AE6923" w14:paraId="4A053451" w14:textId="77777777">
        <w:tblPrEx>
          <w:tblCellMar>
            <w:top w:w="0" w:type="dxa"/>
            <w:bottom w:w="0" w:type="dxa"/>
          </w:tblCellMar>
        </w:tblPrEx>
        <w:tc>
          <w:tcPr>
            <w:tcW w:w="3500" w:type="dxa"/>
          </w:tcPr>
          <w:p w14:paraId="1A1B8982" w14:textId="77777777" w:rsidR="008D11E6" w:rsidRPr="00AE6923" w:rsidRDefault="00AE6923">
            <w:pPr>
              <w:rPr>
                <w:rFonts w:ascii="Calibri" w:hAnsi="Calibri" w:cs="Calibri"/>
              </w:rPr>
            </w:pPr>
            <w:r w:rsidRPr="00AE6923">
              <w:rPr>
                <w:rFonts w:ascii="Calibri" w:hAnsi="Calibri" w:cs="Calibri"/>
              </w:rPr>
              <w:t>Rentabilité</w:t>
            </w:r>
          </w:p>
        </w:tc>
        <w:tc>
          <w:tcPr>
            <w:tcW w:w="2000" w:type="dxa"/>
          </w:tcPr>
          <w:p w14:paraId="2D7704F0" w14:textId="77777777" w:rsidR="008D11E6" w:rsidRPr="00AE6923" w:rsidRDefault="00AE6923">
            <w:pPr>
              <w:rPr>
                <w:rFonts w:ascii="Calibri" w:hAnsi="Calibri" w:cs="Calibri"/>
              </w:rPr>
            </w:pPr>
            <w:r w:rsidRPr="00AE6923">
              <w:rPr>
                <w:rFonts w:ascii="Calibri" w:hAnsi="Calibri" w:cs="Calibri"/>
              </w:rPr>
              <w:t>25 %</w:t>
            </w:r>
          </w:p>
        </w:tc>
      </w:tr>
      <w:tr w:rsidR="008D11E6" w:rsidRPr="00AE6923" w14:paraId="3F802F85" w14:textId="77777777">
        <w:tblPrEx>
          <w:tblCellMar>
            <w:top w:w="0" w:type="dxa"/>
            <w:bottom w:w="0" w:type="dxa"/>
          </w:tblCellMar>
        </w:tblPrEx>
        <w:tc>
          <w:tcPr>
            <w:tcW w:w="3500" w:type="dxa"/>
          </w:tcPr>
          <w:p w14:paraId="44B4EC0E" w14:textId="77777777" w:rsidR="008D11E6" w:rsidRPr="00AE6923" w:rsidRDefault="00AE6923">
            <w:pPr>
              <w:rPr>
                <w:rFonts w:ascii="Calibri" w:hAnsi="Calibri" w:cs="Calibri"/>
              </w:rPr>
            </w:pPr>
            <w:r w:rsidRPr="00AE6923">
              <w:rPr>
                <w:rFonts w:ascii="Calibri" w:hAnsi="Calibri" w:cs="Calibri"/>
              </w:rPr>
              <w:t>Solidité bilancielle</w:t>
            </w:r>
          </w:p>
        </w:tc>
        <w:tc>
          <w:tcPr>
            <w:tcW w:w="2000" w:type="dxa"/>
          </w:tcPr>
          <w:p w14:paraId="6BD0ACC0" w14:textId="77777777" w:rsidR="008D11E6" w:rsidRPr="00AE6923" w:rsidRDefault="00AE6923">
            <w:pPr>
              <w:rPr>
                <w:rFonts w:ascii="Calibri" w:hAnsi="Calibri" w:cs="Calibri"/>
              </w:rPr>
            </w:pPr>
            <w:r w:rsidRPr="00AE6923">
              <w:rPr>
                <w:rFonts w:ascii="Calibri" w:hAnsi="Calibri" w:cs="Calibri"/>
              </w:rPr>
              <w:t>25 %</w:t>
            </w:r>
          </w:p>
        </w:tc>
      </w:tr>
      <w:tr w:rsidR="008D11E6" w:rsidRPr="00AE6923" w14:paraId="56427D60" w14:textId="77777777">
        <w:tblPrEx>
          <w:tblCellMar>
            <w:top w:w="0" w:type="dxa"/>
            <w:bottom w:w="0" w:type="dxa"/>
          </w:tblCellMar>
        </w:tblPrEx>
        <w:tc>
          <w:tcPr>
            <w:tcW w:w="3500" w:type="dxa"/>
          </w:tcPr>
          <w:p w14:paraId="33ABDF34" w14:textId="77777777" w:rsidR="008D11E6" w:rsidRPr="00AE6923" w:rsidRDefault="00AE6923">
            <w:pPr>
              <w:rPr>
                <w:rFonts w:ascii="Calibri" w:hAnsi="Calibri" w:cs="Calibri"/>
              </w:rPr>
            </w:pPr>
            <w:r w:rsidRPr="00AE6923">
              <w:rPr>
                <w:rFonts w:ascii="Calibri" w:hAnsi="Calibri" w:cs="Calibri"/>
              </w:rPr>
              <w:t>Génération de cash</w:t>
            </w:r>
          </w:p>
        </w:tc>
        <w:tc>
          <w:tcPr>
            <w:tcW w:w="2000" w:type="dxa"/>
          </w:tcPr>
          <w:p w14:paraId="639E9838" w14:textId="77777777" w:rsidR="008D11E6" w:rsidRPr="00AE6923" w:rsidRDefault="00AE6923">
            <w:pPr>
              <w:rPr>
                <w:rFonts w:ascii="Calibri" w:hAnsi="Calibri" w:cs="Calibri"/>
              </w:rPr>
            </w:pPr>
            <w:r w:rsidRPr="00AE6923">
              <w:rPr>
                <w:rFonts w:ascii="Calibri" w:hAnsi="Calibri" w:cs="Calibri"/>
              </w:rPr>
              <w:t>20 %</w:t>
            </w:r>
          </w:p>
        </w:tc>
      </w:tr>
      <w:tr w:rsidR="008D11E6" w:rsidRPr="00AE6923" w14:paraId="4B2955FC" w14:textId="77777777">
        <w:tblPrEx>
          <w:tblCellMar>
            <w:top w:w="0" w:type="dxa"/>
            <w:bottom w:w="0" w:type="dxa"/>
          </w:tblCellMar>
        </w:tblPrEx>
        <w:tc>
          <w:tcPr>
            <w:tcW w:w="3500" w:type="dxa"/>
          </w:tcPr>
          <w:p w14:paraId="4FD0AE55" w14:textId="77777777" w:rsidR="008D11E6" w:rsidRPr="00AE6923" w:rsidRDefault="00AE6923">
            <w:pPr>
              <w:rPr>
                <w:rFonts w:ascii="Calibri" w:hAnsi="Calibri" w:cs="Calibri"/>
              </w:rPr>
            </w:pPr>
            <w:r w:rsidRPr="00AE6923">
              <w:rPr>
                <w:rFonts w:ascii="Calibri" w:hAnsi="Calibri" w:cs="Calibri"/>
              </w:rPr>
              <w:t xml:space="preserve">Proxy de </w:t>
            </w:r>
            <w:proofErr w:type="spellStart"/>
            <w:r w:rsidRPr="00AE6923">
              <w:rPr>
                <w:rFonts w:ascii="Calibri" w:hAnsi="Calibri" w:cs="Calibri"/>
              </w:rPr>
              <w:t>moat</w:t>
            </w:r>
            <w:proofErr w:type="spellEnd"/>
          </w:p>
        </w:tc>
        <w:tc>
          <w:tcPr>
            <w:tcW w:w="2000" w:type="dxa"/>
          </w:tcPr>
          <w:p w14:paraId="13BCC048" w14:textId="77777777" w:rsidR="008D11E6" w:rsidRPr="00AE6923" w:rsidRDefault="00AE6923">
            <w:pPr>
              <w:rPr>
                <w:rFonts w:ascii="Calibri" w:hAnsi="Calibri" w:cs="Calibri"/>
              </w:rPr>
            </w:pPr>
            <w:r w:rsidRPr="00AE6923">
              <w:rPr>
                <w:rFonts w:ascii="Calibri" w:hAnsi="Calibri" w:cs="Calibri"/>
              </w:rPr>
              <w:t>10 %</w:t>
            </w:r>
          </w:p>
        </w:tc>
      </w:tr>
    </w:tbl>
    <w:p w14:paraId="0BD4777F" w14:textId="77777777" w:rsidR="008D11E6" w:rsidRPr="00AE6923" w:rsidRDefault="008D11E6">
      <w:pPr>
        <w:spacing w:after="200"/>
        <w:rPr>
          <w:rFonts w:ascii="Calibri" w:hAnsi="Calibri" w:cs="Calibri"/>
        </w:rPr>
      </w:pPr>
    </w:p>
    <w:p w14:paraId="70F8F988" w14:textId="77777777" w:rsidR="008D11E6" w:rsidRPr="00AE6923" w:rsidRDefault="00AE6923">
      <w:pPr>
        <w:spacing w:after="160"/>
        <w:rPr>
          <w:rFonts w:ascii="Calibri" w:hAnsi="Calibri" w:cs="Calibri"/>
        </w:rPr>
      </w:pPr>
      <w:r w:rsidRPr="00AE6923">
        <w:rPr>
          <w:rFonts w:ascii="Calibri" w:hAnsi="Calibri" w:cs="Calibri"/>
        </w:rPr>
        <w:t>La rentabilité et la solidité bilancielle sont pondérées le plus fortement, car ce sont les deux dimensions les plus directement liées au risque de perte permanente de capital, objectif premier du filtre fondamental.</w:t>
      </w:r>
    </w:p>
    <w:p w14:paraId="0A067E2E" w14:textId="3032C9DD" w:rsidR="00AE6923" w:rsidRPr="00AE6923" w:rsidRDefault="00AE6923">
      <w:pPr>
        <w:spacing w:after="160"/>
        <w:rPr>
          <w:rFonts w:ascii="Calibri" w:hAnsi="Calibri" w:cs="Calibri"/>
        </w:rPr>
      </w:pPr>
      <w:r w:rsidRPr="00AE6923">
        <w:rPr>
          <w:rFonts w:ascii="Calibri" w:hAnsi="Calibri" w:cs="Calibri"/>
        </w:rPr>
        <w:t xml:space="preserve">Avec notre exemple </w:t>
      </w:r>
    </w:p>
    <w:p w14:paraId="29057932" w14:textId="1BCC74E9" w:rsidR="00AE6923" w:rsidRPr="00AE6923" w:rsidRDefault="00AE6923">
      <w:pPr>
        <w:spacing w:after="160"/>
        <w:rPr>
          <w:rFonts w:ascii="Calibri" w:hAnsi="Calibri" w:cs="Calibri"/>
          <w:color w:val="C00000"/>
        </w:rPr>
      </w:pPr>
      <w:r w:rsidRPr="00AE6923">
        <w:rPr>
          <w:rFonts w:ascii="Calibri" w:hAnsi="Calibri" w:cs="Calibri"/>
          <w:b/>
          <w:bCs/>
          <w:color w:val="C00000"/>
        </w:rPr>
        <w:t>Score composite final</w:t>
      </w:r>
      <w:r w:rsidRPr="00AE6923">
        <w:rPr>
          <w:rFonts w:ascii="Calibri" w:hAnsi="Calibri" w:cs="Calibri"/>
          <w:color w:val="C00000"/>
        </w:rPr>
        <w:t xml:space="preserve"> (pondération 20/25/25/20/10) : 0,20×93,1 + 0,25×53,2 + 0,25×100,0 + 0,20×100,0 + 0,10×95,4 = 18,62+13,30+25,00+20,00+9,54 = </w:t>
      </w:r>
      <w:r w:rsidRPr="00AE6923">
        <w:rPr>
          <w:rFonts w:ascii="Calibri" w:hAnsi="Calibri" w:cs="Calibri"/>
          <w:b/>
          <w:bCs/>
          <w:color w:val="C00000"/>
        </w:rPr>
        <w:t>86,5/100</w:t>
      </w:r>
    </w:p>
    <w:p w14:paraId="1A89D1AA" w14:textId="77777777" w:rsidR="008D11E6" w:rsidRPr="00AE6923" w:rsidRDefault="00AE6923">
      <w:pPr>
        <w:pStyle w:val="Titre1"/>
        <w:spacing w:before="400" w:after="200"/>
        <w:rPr>
          <w:rFonts w:ascii="Calibri" w:hAnsi="Calibri" w:cs="Calibri"/>
        </w:rPr>
      </w:pPr>
      <w:r w:rsidRPr="00AE6923">
        <w:rPr>
          <w:rFonts w:ascii="Calibri" w:hAnsi="Calibri" w:cs="Calibri"/>
        </w:rPr>
        <w:t>5. Variables brutes conservées</w:t>
      </w:r>
    </w:p>
    <w:p w14:paraId="343D38F5" w14:textId="77777777" w:rsidR="008D11E6" w:rsidRPr="00AE6923" w:rsidRDefault="00AE6923">
      <w:pPr>
        <w:spacing w:after="160"/>
        <w:rPr>
          <w:rFonts w:ascii="Calibri" w:hAnsi="Calibri" w:cs="Calibri"/>
        </w:rPr>
      </w:pPr>
      <w:r w:rsidRPr="00AE6923">
        <w:rPr>
          <w:rFonts w:ascii="Calibri" w:hAnsi="Calibri" w:cs="Calibri"/>
        </w:rPr>
        <w:lastRenderedPageBreak/>
        <w:t xml:space="preserve">L'ensemble des variables sous-jacentes à chaque sous-score est conservé intact dans le résultat, indépendamment du score composite calculé. Ce choix de conception est délibéré : ce sont ces variables brutes, et non le score agrégé, qui devront alimenter le futur modèle de probabilité (régression logistique ou gradient </w:t>
      </w:r>
      <w:proofErr w:type="spellStart"/>
      <w:r w:rsidRPr="00AE6923">
        <w:rPr>
          <w:rFonts w:ascii="Calibri" w:hAnsi="Calibri" w:cs="Calibri"/>
        </w:rPr>
        <w:t>boosting</w:t>
      </w:r>
      <w:proofErr w:type="spellEnd"/>
      <w:r w:rsidRPr="00AE6923">
        <w:rPr>
          <w:rFonts w:ascii="Calibri" w:hAnsi="Calibri" w:cs="Calibri"/>
        </w:rPr>
        <w:t>), afin que ce modèle apprenne lui-même les pondérations et interactions optimales à partir des données historiques, plutôt que d'hériter d'une pondération fixée manuellement à ce stade.</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tblGrid>
      <w:tr w:rsidR="008D11E6" w:rsidRPr="00AE6923" w14:paraId="4F8A11E8" w14:textId="77777777">
        <w:tblPrEx>
          <w:tblCellMar>
            <w:top w:w="0" w:type="dxa"/>
            <w:bottom w:w="0" w:type="dxa"/>
          </w:tblCellMar>
        </w:tblPrEx>
        <w:tc>
          <w:tcPr>
            <w:tcW w:w="2200" w:type="dxa"/>
            <w:shd w:val="clear" w:color="auto" w:fill="1F4E5F"/>
          </w:tcPr>
          <w:p w14:paraId="2BBECC72" w14:textId="77777777" w:rsidR="008D11E6" w:rsidRPr="00AE6923" w:rsidRDefault="00AE6923">
            <w:pPr>
              <w:rPr>
                <w:rFonts w:ascii="Calibri" w:hAnsi="Calibri" w:cs="Calibri"/>
              </w:rPr>
            </w:pPr>
            <w:r w:rsidRPr="00AE6923">
              <w:rPr>
                <w:rFonts w:ascii="Calibri" w:hAnsi="Calibri" w:cs="Calibri"/>
                <w:b/>
                <w:bCs/>
                <w:color w:val="FFFFFF"/>
              </w:rPr>
              <w:t>Sous-score</w:t>
            </w:r>
          </w:p>
        </w:tc>
        <w:tc>
          <w:tcPr>
            <w:tcW w:w="4300" w:type="dxa"/>
            <w:shd w:val="clear" w:color="auto" w:fill="1F4E5F"/>
          </w:tcPr>
          <w:p w14:paraId="51B60928" w14:textId="77777777" w:rsidR="008D11E6" w:rsidRPr="00AE6923" w:rsidRDefault="00AE6923">
            <w:pPr>
              <w:rPr>
                <w:rFonts w:ascii="Calibri" w:hAnsi="Calibri" w:cs="Calibri"/>
              </w:rPr>
            </w:pPr>
            <w:r w:rsidRPr="00AE6923">
              <w:rPr>
                <w:rFonts w:ascii="Calibri" w:hAnsi="Calibri" w:cs="Calibri"/>
                <w:b/>
                <w:bCs/>
                <w:color w:val="FFFFFF"/>
              </w:rPr>
              <w:t>Variables utilisées</w:t>
            </w:r>
          </w:p>
        </w:tc>
      </w:tr>
      <w:tr w:rsidR="008D11E6" w:rsidRPr="00AE6923" w14:paraId="7B83176E" w14:textId="77777777">
        <w:tblPrEx>
          <w:tblCellMar>
            <w:top w:w="0" w:type="dxa"/>
            <w:bottom w:w="0" w:type="dxa"/>
          </w:tblCellMar>
        </w:tblPrEx>
        <w:tc>
          <w:tcPr>
            <w:tcW w:w="2200" w:type="dxa"/>
          </w:tcPr>
          <w:p w14:paraId="7EDDCAF8" w14:textId="77777777" w:rsidR="008D11E6" w:rsidRPr="00AE6923" w:rsidRDefault="00AE6923">
            <w:pPr>
              <w:rPr>
                <w:rFonts w:ascii="Calibri" w:hAnsi="Calibri" w:cs="Calibri"/>
              </w:rPr>
            </w:pPr>
            <w:r w:rsidRPr="00AE6923">
              <w:rPr>
                <w:rFonts w:ascii="Calibri" w:hAnsi="Calibri" w:cs="Calibri"/>
              </w:rPr>
              <w:t>Croissance</w:t>
            </w:r>
          </w:p>
        </w:tc>
        <w:tc>
          <w:tcPr>
            <w:tcW w:w="4300" w:type="dxa"/>
          </w:tcPr>
          <w:p w14:paraId="1DC07632" w14:textId="77777777" w:rsidR="008D11E6" w:rsidRPr="00AE6923" w:rsidRDefault="00AE6923">
            <w:pPr>
              <w:rPr>
                <w:rFonts w:ascii="Calibri" w:hAnsi="Calibri" w:cs="Calibri"/>
              </w:rPr>
            </w:pPr>
            <w:r w:rsidRPr="00AE6923">
              <w:rPr>
                <w:rFonts w:ascii="Calibri" w:hAnsi="Calibri" w:cs="Calibri"/>
              </w:rPr>
              <w:t>Croissance du CA (</w:t>
            </w:r>
            <w:proofErr w:type="spellStart"/>
            <w:r w:rsidRPr="00AE6923">
              <w:rPr>
                <w:rFonts w:ascii="Calibri" w:hAnsi="Calibri" w:cs="Calibri"/>
              </w:rPr>
              <w:t>YoY</w:t>
            </w:r>
            <w:proofErr w:type="spellEnd"/>
            <w:r w:rsidRPr="00AE6923">
              <w:rPr>
                <w:rFonts w:ascii="Calibri" w:hAnsi="Calibri" w:cs="Calibri"/>
              </w:rPr>
              <w:t xml:space="preserve"> et CAGR 3 ans), croissance de l'EPS (</w:t>
            </w:r>
            <w:proofErr w:type="spellStart"/>
            <w:r w:rsidRPr="00AE6923">
              <w:rPr>
                <w:rFonts w:ascii="Calibri" w:hAnsi="Calibri" w:cs="Calibri"/>
              </w:rPr>
              <w:t>YoY</w:t>
            </w:r>
            <w:proofErr w:type="spellEnd"/>
            <w:r w:rsidRPr="00AE6923">
              <w:rPr>
                <w:rFonts w:ascii="Calibri" w:hAnsi="Calibri" w:cs="Calibri"/>
              </w:rPr>
              <w:t>)</w:t>
            </w:r>
          </w:p>
        </w:tc>
      </w:tr>
      <w:tr w:rsidR="008D11E6" w:rsidRPr="00AE6923" w14:paraId="0F26FEB6" w14:textId="77777777">
        <w:tblPrEx>
          <w:tblCellMar>
            <w:top w:w="0" w:type="dxa"/>
            <w:bottom w:w="0" w:type="dxa"/>
          </w:tblCellMar>
        </w:tblPrEx>
        <w:tc>
          <w:tcPr>
            <w:tcW w:w="2200" w:type="dxa"/>
          </w:tcPr>
          <w:p w14:paraId="6F26CACC" w14:textId="77777777" w:rsidR="008D11E6" w:rsidRPr="00AE6923" w:rsidRDefault="00AE6923">
            <w:pPr>
              <w:rPr>
                <w:rFonts w:ascii="Calibri" w:hAnsi="Calibri" w:cs="Calibri"/>
              </w:rPr>
            </w:pPr>
            <w:r w:rsidRPr="00AE6923">
              <w:rPr>
                <w:rFonts w:ascii="Calibri" w:hAnsi="Calibri" w:cs="Calibri"/>
              </w:rPr>
              <w:t>Rentabilité</w:t>
            </w:r>
          </w:p>
        </w:tc>
        <w:tc>
          <w:tcPr>
            <w:tcW w:w="4300" w:type="dxa"/>
          </w:tcPr>
          <w:p w14:paraId="3E3EED6B" w14:textId="77777777" w:rsidR="008D11E6" w:rsidRPr="00AE6923" w:rsidRDefault="00AE6923">
            <w:pPr>
              <w:rPr>
                <w:rFonts w:ascii="Calibri" w:hAnsi="Calibri" w:cs="Calibri"/>
              </w:rPr>
            </w:pPr>
            <w:r w:rsidRPr="00AE6923">
              <w:rPr>
                <w:rFonts w:ascii="Calibri" w:hAnsi="Calibri" w:cs="Calibri"/>
              </w:rPr>
              <w:t>Marge brute, marge opérationnelle, ROE, spread ROIC – WACC</w:t>
            </w:r>
          </w:p>
        </w:tc>
      </w:tr>
      <w:tr w:rsidR="008D11E6" w:rsidRPr="00AE6923" w14:paraId="1984DE45" w14:textId="77777777">
        <w:tblPrEx>
          <w:tblCellMar>
            <w:top w:w="0" w:type="dxa"/>
            <w:bottom w:w="0" w:type="dxa"/>
          </w:tblCellMar>
        </w:tblPrEx>
        <w:tc>
          <w:tcPr>
            <w:tcW w:w="2200" w:type="dxa"/>
          </w:tcPr>
          <w:p w14:paraId="6606419D" w14:textId="77777777" w:rsidR="008D11E6" w:rsidRPr="00AE6923" w:rsidRDefault="00AE6923">
            <w:pPr>
              <w:rPr>
                <w:rFonts w:ascii="Calibri" w:hAnsi="Calibri" w:cs="Calibri"/>
              </w:rPr>
            </w:pPr>
            <w:r w:rsidRPr="00AE6923">
              <w:rPr>
                <w:rFonts w:ascii="Calibri" w:hAnsi="Calibri" w:cs="Calibri"/>
              </w:rPr>
              <w:t>Solidité bilancielle</w:t>
            </w:r>
          </w:p>
        </w:tc>
        <w:tc>
          <w:tcPr>
            <w:tcW w:w="4300" w:type="dxa"/>
          </w:tcPr>
          <w:p w14:paraId="19101867" w14:textId="77777777" w:rsidR="008D11E6" w:rsidRPr="00AE6923" w:rsidRDefault="00AE6923">
            <w:pPr>
              <w:rPr>
                <w:rFonts w:ascii="Calibri" w:hAnsi="Calibri" w:cs="Calibri"/>
              </w:rPr>
            </w:pPr>
            <w:r w:rsidRPr="00AE6923">
              <w:rPr>
                <w:rFonts w:ascii="Calibri" w:hAnsi="Calibri" w:cs="Calibri"/>
              </w:rPr>
              <w:t xml:space="preserve">Dette nette / EBITDA, couverture des intérêts, </w:t>
            </w:r>
            <w:proofErr w:type="spellStart"/>
            <w:r w:rsidRPr="00AE6923">
              <w:rPr>
                <w:rFonts w:ascii="Calibri" w:hAnsi="Calibri" w:cs="Calibri"/>
              </w:rPr>
              <w:t>current</w:t>
            </w:r>
            <w:proofErr w:type="spellEnd"/>
            <w:r w:rsidRPr="00AE6923">
              <w:rPr>
                <w:rFonts w:ascii="Calibri" w:hAnsi="Calibri" w:cs="Calibri"/>
              </w:rPr>
              <w:t xml:space="preserve"> ratio</w:t>
            </w:r>
          </w:p>
        </w:tc>
      </w:tr>
      <w:tr w:rsidR="008D11E6" w:rsidRPr="00AE6923" w14:paraId="5BF18332" w14:textId="77777777">
        <w:tblPrEx>
          <w:tblCellMar>
            <w:top w:w="0" w:type="dxa"/>
            <w:bottom w:w="0" w:type="dxa"/>
          </w:tblCellMar>
        </w:tblPrEx>
        <w:tc>
          <w:tcPr>
            <w:tcW w:w="2200" w:type="dxa"/>
          </w:tcPr>
          <w:p w14:paraId="194FAF0C" w14:textId="77777777" w:rsidR="008D11E6" w:rsidRPr="00AE6923" w:rsidRDefault="00AE6923">
            <w:pPr>
              <w:rPr>
                <w:rFonts w:ascii="Calibri" w:hAnsi="Calibri" w:cs="Calibri"/>
              </w:rPr>
            </w:pPr>
            <w:r w:rsidRPr="00AE6923">
              <w:rPr>
                <w:rFonts w:ascii="Calibri" w:hAnsi="Calibri" w:cs="Calibri"/>
              </w:rPr>
              <w:t>Génération de cash</w:t>
            </w:r>
          </w:p>
        </w:tc>
        <w:tc>
          <w:tcPr>
            <w:tcW w:w="4300" w:type="dxa"/>
          </w:tcPr>
          <w:p w14:paraId="20FB18C2" w14:textId="77777777" w:rsidR="008D11E6" w:rsidRPr="00AE6923" w:rsidRDefault="00AE6923">
            <w:pPr>
              <w:rPr>
                <w:rFonts w:ascii="Calibri" w:hAnsi="Calibri" w:cs="Calibri"/>
              </w:rPr>
            </w:pPr>
            <w:r w:rsidRPr="00AE6923">
              <w:rPr>
                <w:rFonts w:ascii="Calibri" w:hAnsi="Calibri" w:cs="Calibri"/>
              </w:rPr>
              <w:t>Taux de conversion résultat net → FCF, marge de FCF</w:t>
            </w:r>
          </w:p>
        </w:tc>
      </w:tr>
      <w:tr w:rsidR="008D11E6" w:rsidRPr="00AE6923" w14:paraId="73453F8E" w14:textId="77777777">
        <w:tblPrEx>
          <w:tblCellMar>
            <w:top w:w="0" w:type="dxa"/>
            <w:bottom w:w="0" w:type="dxa"/>
          </w:tblCellMar>
        </w:tblPrEx>
        <w:tc>
          <w:tcPr>
            <w:tcW w:w="2200" w:type="dxa"/>
          </w:tcPr>
          <w:p w14:paraId="5B430242" w14:textId="77777777" w:rsidR="008D11E6" w:rsidRPr="00AE6923" w:rsidRDefault="00AE6923">
            <w:pPr>
              <w:rPr>
                <w:rFonts w:ascii="Calibri" w:hAnsi="Calibri" w:cs="Calibri"/>
              </w:rPr>
            </w:pPr>
            <w:r w:rsidRPr="00AE6923">
              <w:rPr>
                <w:rFonts w:ascii="Calibri" w:hAnsi="Calibri" w:cs="Calibri"/>
              </w:rPr>
              <w:t xml:space="preserve">Proxy de </w:t>
            </w:r>
            <w:proofErr w:type="spellStart"/>
            <w:r w:rsidRPr="00AE6923">
              <w:rPr>
                <w:rFonts w:ascii="Calibri" w:hAnsi="Calibri" w:cs="Calibri"/>
              </w:rPr>
              <w:t>moat</w:t>
            </w:r>
            <w:proofErr w:type="spellEnd"/>
          </w:p>
        </w:tc>
        <w:tc>
          <w:tcPr>
            <w:tcW w:w="4300" w:type="dxa"/>
          </w:tcPr>
          <w:p w14:paraId="34BA89CD" w14:textId="77777777" w:rsidR="008D11E6" w:rsidRPr="00AE6923" w:rsidRDefault="00AE6923">
            <w:pPr>
              <w:rPr>
                <w:rFonts w:ascii="Calibri" w:hAnsi="Calibri" w:cs="Calibri"/>
              </w:rPr>
            </w:pPr>
            <w:r w:rsidRPr="00AE6923">
              <w:rPr>
                <w:rFonts w:ascii="Calibri" w:hAnsi="Calibri" w:cs="Calibri"/>
              </w:rPr>
              <w:t>Stabilité de la marge brute (écart-type sur 5 ans), tendance du ROIC</w:t>
            </w:r>
          </w:p>
        </w:tc>
      </w:tr>
    </w:tbl>
    <w:p w14:paraId="42A432BB" w14:textId="77777777" w:rsidR="008D11E6" w:rsidRPr="00AE6923" w:rsidRDefault="00AE6923">
      <w:pPr>
        <w:pStyle w:val="Titre1"/>
        <w:spacing w:before="400" w:after="200"/>
        <w:rPr>
          <w:rFonts w:ascii="Calibri" w:hAnsi="Calibri" w:cs="Calibri"/>
        </w:rPr>
      </w:pPr>
      <w:r w:rsidRPr="00AE6923">
        <w:rPr>
          <w:rFonts w:ascii="Calibri" w:hAnsi="Calibri" w:cs="Calibri"/>
        </w:rPr>
        <w:t>6. Limites actuelles et prochaines étapes</w:t>
      </w:r>
    </w:p>
    <w:p w14:paraId="303B0B6C" w14:textId="77777777" w:rsidR="008D11E6" w:rsidRPr="00AE6923" w:rsidRDefault="00AE6923">
      <w:pPr>
        <w:pStyle w:val="Paragraphedeliste"/>
        <w:numPr>
          <w:ilvl w:val="0"/>
          <w:numId w:val="2"/>
        </w:numPr>
        <w:spacing w:after="80"/>
        <w:rPr>
          <w:rFonts w:ascii="Calibri" w:hAnsi="Calibri" w:cs="Calibri"/>
        </w:rPr>
      </w:pPr>
      <w:r w:rsidRPr="00AE6923">
        <w:rPr>
          <w:rFonts w:ascii="Calibri" w:hAnsi="Calibri" w:cs="Calibri"/>
        </w:rPr>
        <w:t>Les seuils de normalisation sont génériques et doivent être recalibrés par secteur d'activité à partir de données historiques réelles.</w:t>
      </w:r>
    </w:p>
    <w:p w14:paraId="6431FFC1" w14:textId="77777777" w:rsidR="008D11E6" w:rsidRPr="00AE6923" w:rsidRDefault="00AE6923">
      <w:pPr>
        <w:pStyle w:val="Paragraphedeliste"/>
        <w:numPr>
          <w:ilvl w:val="0"/>
          <w:numId w:val="2"/>
        </w:numPr>
        <w:spacing w:after="80"/>
        <w:rPr>
          <w:rFonts w:ascii="Calibri" w:hAnsi="Calibri" w:cs="Calibri"/>
        </w:rPr>
      </w:pPr>
      <w:r w:rsidRPr="00AE6923">
        <w:rPr>
          <w:rFonts w:ascii="Calibri" w:hAnsi="Calibri" w:cs="Calibri"/>
        </w:rPr>
        <w:t xml:space="preserve">Le proxy de </w:t>
      </w:r>
      <w:proofErr w:type="spellStart"/>
      <w:r w:rsidRPr="00AE6923">
        <w:rPr>
          <w:rFonts w:ascii="Calibri" w:hAnsi="Calibri" w:cs="Calibri"/>
        </w:rPr>
        <w:t>moat</w:t>
      </w:r>
      <w:proofErr w:type="spellEnd"/>
      <w:r w:rsidRPr="00AE6923">
        <w:rPr>
          <w:rFonts w:ascii="Calibri" w:hAnsi="Calibri" w:cs="Calibri"/>
        </w:rPr>
        <w:t xml:space="preserve"> reste une approximation indirecte ; il ne capture pas certains avantages concurrentiels non visibles dans les marges (effets de réseau émergents, brevets non encore monétisés).</w:t>
      </w:r>
    </w:p>
    <w:p w14:paraId="6D2D80ED" w14:textId="77777777" w:rsidR="008D11E6" w:rsidRPr="00AE6923" w:rsidRDefault="00AE6923">
      <w:pPr>
        <w:pStyle w:val="Paragraphedeliste"/>
        <w:numPr>
          <w:ilvl w:val="0"/>
          <w:numId w:val="2"/>
        </w:numPr>
        <w:spacing w:after="80"/>
        <w:rPr>
          <w:rFonts w:ascii="Calibri" w:hAnsi="Calibri" w:cs="Calibri"/>
        </w:rPr>
      </w:pPr>
      <w:r w:rsidRPr="00AE6923">
        <w:rPr>
          <w:rFonts w:ascii="Calibri" w:hAnsi="Calibri" w:cs="Calibri"/>
        </w:rPr>
        <w:t>Ce module ne couvre que la dimension fondamentale ; il doit être combiné aux modules valorisation, technique, macro et sentiment avant toute décision, conformément à l'architecture générale du Projet Alpha.</w:t>
      </w:r>
    </w:p>
    <w:p w14:paraId="05B800EF" w14:textId="77777777" w:rsidR="008D11E6" w:rsidRPr="00AE6923" w:rsidRDefault="00AE6923">
      <w:pPr>
        <w:pStyle w:val="Paragraphedeliste"/>
        <w:numPr>
          <w:ilvl w:val="0"/>
          <w:numId w:val="2"/>
        </w:numPr>
        <w:spacing w:after="80"/>
        <w:rPr>
          <w:rFonts w:ascii="Calibri" w:hAnsi="Calibri" w:cs="Calibri"/>
        </w:rPr>
      </w:pPr>
      <w:r w:rsidRPr="00AE6923">
        <w:rPr>
          <w:rFonts w:ascii="Calibri" w:hAnsi="Calibri" w:cs="Calibri"/>
        </w:rPr>
        <w:t xml:space="preserve">La validation définitive de la pertinence de ces sous-scores et de leur pondération ne pourra se faire que par </w:t>
      </w:r>
      <w:proofErr w:type="spellStart"/>
      <w:r w:rsidRPr="00AE6923">
        <w:rPr>
          <w:rFonts w:ascii="Calibri" w:hAnsi="Calibri" w:cs="Calibri"/>
        </w:rPr>
        <w:t>backtesting</w:t>
      </w:r>
      <w:proofErr w:type="spellEnd"/>
      <w:r w:rsidRPr="00AE6923">
        <w:rPr>
          <w:rFonts w:ascii="Calibri" w:hAnsi="Calibri" w:cs="Calibri"/>
        </w:rPr>
        <w:t xml:space="preserve"> sur données historiques, avec vérification de calibration plutôt que sur la seule performance globale simulée.</w:t>
      </w:r>
    </w:p>
    <w:sectPr w:rsidR="008D11E6" w:rsidRPr="00AE692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C99"/>
    <w:multiLevelType w:val="multilevel"/>
    <w:tmpl w:val="59B04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6E3415"/>
    <w:multiLevelType w:val="multilevel"/>
    <w:tmpl w:val="8788E8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940744"/>
    <w:multiLevelType w:val="multilevel"/>
    <w:tmpl w:val="E2F431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6B384B"/>
    <w:multiLevelType w:val="multilevel"/>
    <w:tmpl w:val="97E46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06041A"/>
    <w:multiLevelType w:val="multilevel"/>
    <w:tmpl w:val="02FE1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1D05EC"/>
    <w:multiLevelType w:val="multilevel"/>
    <w:tmpl w:val="CFB29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6B5976"/>
    <w:multiLevelType w:val="multilevel"/>
    <w:tmpl w:val="7406AC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2673EC"/>
    <w:multiLevelType w:val="multilevel"/>
    <w:tmpl w:val="FE6E6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577441"/>
    <w:multiLevelType w:val="multilevel"/>
    <w:tmpl w:val="5DE0D2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B90972"/>
    <w:multiLevelType w:val="multilevel"/>
    <w:tmpl w:val="204087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6AE410E"/>
    <w:multiLevelType w:val="hybridMultilevel"/>
    <w:tmpl w:val="07E2EBF6"/>
    <w:lvl w:ilvl="0" w:tplc="EC8433E6">
      <w:start w:val="1"/>
      <w:numFmt w:val="bullet"/>
      <w:lvlText w:val="•"/>
      <w:lvlJc w:val="left"/>
    </w:lvl>
    <w:lvl w:ilvl="1" w:tplc="8AD480F8">
      <w:numFmt w:val="decimal"/>
      <w:lvlText w:val=""/>
      <w:lvlJc w:val="left"/>
    </w:lvl>
    <w:lvl w:ilvl="2" w:tplc="4AB2F650">
      <w:numFmt w:val="decimal"/>
      <w:lvlText w:val=""/>
      <w:lvlJc w:val="left"/>
    </w:lvl>
    <w:lvl w:ilvl="3" w:tplc="EF868590">
      <w:numFmt w:val="decimal"/>
      <w:lvlText w:val=""/>
      <w:lvlJc w:val="left"/>
    </w:lvl>
    <w:lvl w:ilvl="4" w:tplc="64D6C914">
      <w:numFmt w:val="decimal"/>
      <w:lvlText w:val=""/>
      <w:lvlJc w:val="left"/>
    </w:lvl>
    <w:lvl w:ilvl="5" w:tplc="8292B8C0">
      <w:numFmt w:val="decimal"/>
      <w:lvlText w:val=""/>
      <w:lvlJc w:val="left"/>
    </w:lvl>
    <w:lvl w:ilvl="6" w:tplc="5126B646">
      <w:numFmt w:val="decimal"/>
      <w:lvlText w:val=""/>
      <w:lvlJc w:val="left"/>
    </w:lvl>
    <w:lvl w:ilvl="7" w:tplc="50D8F4AC">
      <w:numFmt w:val="decimal"/>
      <w:lvlText w:val=""/>
      <w:lvlJc w:val="left"/>
    </w:lvl>
    <w:lvl w:ilvl="8" w:tplc="12FCACA4">
      <w:numFmt w:val="decimal"/>
      <w:lvlText w:val=""/>
      <w:lvlJc w:val="left"/>
    </w:lvl>
  </w:abstractNum>
  <w:abstractNum w:abstractNumId="11" w15:restartNumberingAfterBreak="0">
    <w:nsid w:val="7A7C3604"/>
    <w:multiLevelType w:val="hybridMultilevel"/>
    <w:tmpl w:val="FE8ABBA0"/>
    <w:lvl w:ilvl="0" w:tplc="8D601DC0">
      <w:start w:val="1"/>
      <w:numFmt w:val="bullet"/>
      <w:lvlText w:val="●"/>
      <w:lvlJc w:val="left"/>
      <w:pPr>
        <w:ind w:left="720" w:hanging="360"/>
      </w:pPr>
    </w:lvl>
    <w:lvl w:ilvl="1" w:tplc="B2E6B956">
      <w:start w:val="1"/>
      <w:numFmt w:val="bullet"/>
      <w:lvlText w:val="○"/>
      <w:lvlJc w:val="left"/>
      <w:pPr>
        <w:ind w:left="1440" w:hanging="360"/>
      </w:pPr>
    </w:lvl>
    <w:lvl w:ilvl="2" w:tplc="CCD82562">
      <w:start w:val="1"/>
      <w:numFmt w:val="bullet"/>
      <w:lvlText w:val="■"/>
      <w:lvlJc w:val="left"/>
      <w:pPr>
        <w:ind w:left="2160" w:hanging="360"/>
      </w:pPr>
    </w:lvl>
    <w:lvl w:ilvl="3" w:tplc="8A043E64">
      <w:start w:val="1"/>
      <w:numFmt w:val="bullet"/>
      <w:lvlText w:val="●"/>
      <w:lvlJc w:val="left"/>
      <w:pPr>
        <w:ind w:left="2880" w:hanging="360"/>
      </w:pPr>
    </w:lvl>
    <w:lvl w:ilvl="4" w:tplc="CF383208">
      <w:start w:val="1"/>
      <w:numFmt w:val="bullet"/>
      <w:lvlText w:val="○"/>
      <w:lvlJc w:val="left"/>
      <w:pPr>
        <w:ind w:left="3600" w:hanging="360"/>
      </w:pPr>
    </w:lvl>
    <w:lvl w:ilvl="5" w:tplc="E90E6FE2">
      <w:start w:val="1"/>
      <w:numFmt w:val="bullet"/>
      <w:lvlText w:val="■"/>
      <w:lvlJc w:val="left"/>
      <w:pPr>
        <w:ind w:left="4320" w:hanging="360"/>
      </w:pPr>
    </w:lvl>
    <w:lvl w:ilvl="6" w:tplc="B172EF7E">
      <w:start w:val="1"/>
      <w:numFmt w:val="bullet"/>
      <w:lvlText w:val="●"/>
      <w:lvlJc w:val="left"/>
      <w:pPr>
        <w:ind w:left="5040" w:hanging="360"/>
      </w:pPr>
    </w:lvl>
    <w:lvl w:ilvl="7" w:tplc="5FB06DBE">
      <w:start w:val="1"/>
      <w:numFmt w:val="bullet"/>
      <w:lvlText w:val="●"/>
      <w:lvlJc w:val="left"/>
      <w:pPr>
        <w:ind w:left="5760" w:hanging="360"/>
      </w:pPr>
    </w:lvl>
    <w:lvl w:ilvl="8" w:tplc="B1A80FD8">
      <w:start w:val="1"/>
      <w:numFmt w:val="bullet"/>
      <w:lvlText w:val="●"/>
      <w:lvlJc w:val="left"/>
      <w:pPr>
        <w:ind w:left="6480" w:hanging="360"/>
      </w:pPr>
    </w:lvl>
  </w:abstractNum>
  <w:num w:numId="1" w16cid:durableId="1357272430">
    <w:abstractNumId w:val="11"/>
    <w:lvlOverride w:ilvl="0">
      <w:startOverride w:val="1"/>
    </w:lvlOverride>
  </w:num>
  <w:num w:numId="2" w16cid:durableId="212888100">
    <w:abstractNumId w:val="10"/>
    <w:lvlOverride w:ilvl="0">
      <w:startOverride w:val="1"/>
    </w:lvlOverride>
  </w:num>
  <w:num w:numId="3" w16cid:durableId="1844121859">
    <w:abstractNumId w:val="9"/>
    <w:lvlOverride w:ilvl="0"/>
    <w:lvlOverride w:ilvl="1"/>
    <w:lvlOverride w:ilvl="2"/>
    <w:lvlOverride w:ilvl="3"/>
    <w:lvlOverride w:ilvl="4"/>
    <w:lvlOverride w:ilvl="5"/>
    <w:lvlOverride w:ilvl="6"/>
    <w:lvlOverride w:ilvl="7"/>
    <w:lvlOverride w:ilvl="8"/>
  </w:num>
  <w:num w:numId="4" w16cid:durableId="1590851409">
    <w:abstractNumId w:val="2"/>
    <w:lvlOverride w:ilvl="0"/>
    <w:lvlOverride w:ilvl="1"/>
    <w:lvlOverride w:ilvl="2"/>
    <w:lvlOverride w:ilvl="3"/>
    <w:lvlOverride w:ilvl="4"/>
    <w:lvlOverride w:ilvl="5"/>
    <w:lvlOverride w:ilvl="6"/>
    <w:lvlOverride w:ilvl="7"/>
    <w:lvlOverride w:ilvl="8"/>
  </w:num>
  <w:num w:numId="5" w16cid:durableId="2140415129">
    <w:abstractNumId w:val="8"/>
    <w:lvlOverride w:ilvl="0"/>
    <w:lvlOverride w:ilvl="1"/>
    <w:lvlOverride w:ilvl="2"/>
    <w:lvlOverride w:ilvl="3"/>
    <w:lvlOverride w:ilvl="4"/>
    <w:lvlOverride w:ilvl="5"/>
    <w:lvlOverride w:ilvl="6"/>
    <w:lvlOverride w:ilvl="7"/>
    <w:lvlOverride w:ilvl="8"/>
  </w:num>
  <w:num w:numId="6" w16cid:durableId="484973229">
    <w:abstractNumId w:val="7"/>
    <w:lvlOverride w:ilvl="0"/>
    <w:lvlOverride w:ilvl="1"/>
    <w:lvlOverride w:ilvl="2"/>
    <w:lvlOverride w:ilvl="3"/>
    <w:lvlOverride w:ilvl="4"/>
    <w:lvlOverride w:ilvl="5"/>
    <w:lvlOverride w:ilvl="6"/>
    <w:lvlOverride w:ilvl="7"/>
    <w:lvlOverride w:ilvl="8"/>
  </w:num>
  <w:num w:numId="7" w16cid:durableId="889879652">
    <w:abstractNumId w:val="1"/>
    <w:lvlOverride w:ilvl="0"/>
    <w:lvlOverride w:ilvl="1"/>
    <w:lvlOverride w:ilvl="2"/>
    <w:lvlOverride w:ilvl="3"/>
    <w:lvlOverride w:ilvl="4"/>
    <w:lvlOverride w:ilvl="5"/>
    <w:lvlOverride w:ilvl="6"/>
    <w:lvlOverride w:ilvl="7"/>
    <w:lvlOverride w:ilvl="8"/>
  </w:num>
  <w:num w:numId="8" w16cid:durableId="400561873">
    <w:abstractNumId w:val="3"/>
    <w:lvlOverride w:ilvl="0"/>
    <w:lvlOverride w:ilvl="1"/>
    <w:lvlOverride w:ilvl="2"/>
    <w:lvlOverride w:ilvl="3"/>
    <w:lvlOverride w:ilvl="4"/>
    <w:lvlOverride w:ilvl="5"/>
    <w:lvlOverride w:ilvl="6"/>
    <w:lvlOverride w:ilvl="7"/>
    <w:lvlOverride w:ilvl="8"/>
  </w:num>
  <w:num w:numId="9" w16cid:durableId="1276408519">
    <w:abstractNumId w:val="0"/>
    <w:lvlOverride w:ilvl="0"/>
    <w:lvlOverride w:ilvl="1"/>
    <w:lvlOverride w:ilvl="2"/>
    <w:lvlOverride w:ilvl="3"/>
    <w:lvlOverride w:ilvl="4"/>
    <w:lvlOverride w:ilvl="5"/>
    <w:lvlOverride w:ilvl="6"/>
    <w:lvlOverride w:ilvl="7"/>
    <w:lvlOverride w:ilvl="8"/>
  </w:num>
  <w:num w:numId="10" w16cid:durableId="2047172933">
    <w:abstractNumId w:val="4"/>
    <w:lvlOverride w:ilvl="0"/>
    <w:lvlOverride w:ilvl="1"/>
    <w:lvlOverride w:ilvl="2"/>
    <w:lvlOverride w:ilvl="3"/>
    <w:lvlOverride w:ilvl="4"/>
    <w:lvlOverride w:ilvl="5"/>
    <w:lvlOverride w:ilvl="6"/>
    <w:lvlOverride w:ilvl="7"/>
    <w:lvlOverride w:ilvl="8"/>
  </w:num>
  <w:num w:numId="11" w16cid:durableId="211040940">
    <w:abstractNumId w:val="5"/>
    <w:lvlOverride w:ilvl="0"/>
    <w:lvlOverride w:ilvl="1"/>
    <w:lvlOverride w:ilvl="2"/>
    <w:lvlOverride w:ilvl="3"/>
    <w:lvlOverride w:ilvl="4"/>
    <w:lvlOverride w:ilvl="5"/>
    <w:lvlOverride w:ilvl="6"/>
    <w:lvlOverride w:ilvl="7"/>
    <w:lvlOverride w:ilvl="8"/>
  </w:num>
  <w:num w:numId="12" w16cid:durableId="1703238186">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1E6"/>
    <w:rsid w:val="00322793"/>
    <w:rsid w:val="008D11E6"/>
    <w:rsid w:val="00AE69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B33EA"/>
  <w15:docId w15:val="{B06E6261-5D50-41FC-B378-9834E8648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72474">
      <w:bodyDiv w:val="1"/>
      <w:marLeft w:val="0"/>
      <w:marRight w:val="0"/>
      <w:marTop w:val="0"/>
      <w:marBottom w:val="0"/>
      <w:divBdr>
        <w:top w:val="none" w:sz="0" w:space="0" w:color="auto"/>
        <w:left w:val="none" w:sz="0" w:space="0" w:color="auto"/>
        <w:bottom w:val="none" w:sz="0" w:space="0" w:color="auto"/>
        <w:right w:val="none" w:sz="0" w:space="0" w:color="auto"/>
      </w:divBdr>
    </w:div>
    <w:div w:id="150872167">
      <w:bodyDiv w:val="1"/>
      <w:marLeft w:val="0"/>
      <w:marRight w:val="0"/>
      <w:marTop w:val="0"/>
      <w:marBottom w:val="0"/>
      <w:divBdr>
        <w:top w:val="none" w:sz="0" w:space="0" w:color="auto"/>
        <w:left w:val="none" w:sz="0" w:space="0" w:color="auto"/>
        <w:bottom w:val="none" w:sz="0" w:space="0" w:color="auto"/>
        <w:right w:val="none" w:sz="0" w:space="0" w:color="auto"/>
      </w:divBdr>
    </w:div>
    <w:div w:id="261959556">
      <w:bodyDiv w:val="1"/>
      <w:marLeft w:val="0"/>
      <w:marRight w:val="0"/>
      <w:marTop w:val="0"/>
      <w:marBottom w:val="0"/>
      <w:divBdr>
        <w:top w:val="none" w:sz="0" w:space="0" w:color="auto"/>
        <w:left w:val="none" w:sz="0" w:space="0" w:color="auto"/>
        <w:bottom w:val="none" w:sz="0" w:space="0" w:color="auto"/>
        <w:right w:val="none" w:sz="0" w:space="0" w:color="auto"/>
      </w:divBdr>
    </w:div>
    <w:div w:id="376398094">
      <w:bodyDiv w:val="1"/>
      <w:marLeft w:val="0"/>
      <w:marRight w:val="0"/>
      <w:marTop w:val="0"/>
      <w:marBottom w:val="0"/>
      <w:divBdr>
        <w:top w:val="none" w:sz="0" w:space="0" w:color="auto"/>
        <w:left w:val="none" w:sz="0" w:space="0" w:color="auto"/>
        <w:bottom w:val="none" w:sz="0" w:space="0" w:color="auto"/>
        <w:right w:val="none" w:sz="0" w:space="0" w:color="auto"/>
      </w:divBdr>
    </w:div>
    <w:div w:id="864365227">
      <w:bodyDiv w:val="1"/>
      <w:marLeft w:val="0"/>
      <w:marRight w:val="0"/>
      <w:marTop w:val="0"/>
      <w:marBottom w:val="0"/>
      <w:divBdr>
        <w:top w:val="none" w:sz="0" w:space="0" w:color="auto"/>
        <w:left w:val="none" w:sz="0" w:space="0" w:color="auto"/>
        <w:bottom w:val="none" w:sz="0" w:space="0" w:color="auto"/>
        <w:right w:val="none" w:sz="0" w:space="0" w:color="auto"/>
      </w:divBdr>
    </w:div>
    <w:div w:id="1035808677">
      <w:bodyDiv w:val="1"/>
      <w:marLeft w:val="0"/>
      <w:marRight w:val="0"/>
      <w:marTop w:val="0"/>
      <w:marBottom w:val="0"/>
      <w:divBdr>
        <w:top w:val="none" w:sz="0" w:space="0" w:color="auto"/>
        <w:left w:val="none" w:sz="0" w:space="0" w:color="auto"/>
        <w:bottom w:val="none" w:sz="0" w:space="0" w:color="auto"/>
        <w:right w:val="none" w:sz="0" w:space="0" w:color="auto"/>
      </w:divBdr>
    </w:div>
    <w:div w:id="1115518558">
      <w:bodyDiv w:val="1"/>
      <w:marLeft w:val="0"/>
      <w:marRight w:val="0"/>
      <w:marTop w:val="0"/>
      <w:marBottom w:val="0"/>
      <w:divBdr>
        <w:top w:val="none" w:sz="0" w:space="0" w:color="auto"/>
        <w:left w:val="none" w:sz="0" w:space="0" w:color="auto"/>
        <w:bottom w:val="none" w:sz="0" w:space="0" w:color="auto"/>
        <w:right w:val="none" w:sz="0" w:space="0" w:color="auto"/>
      </w:divBdr>
    </w:div>
    <w:div w:id="1492794745">
      <w:bodyDiv w:val="1"/>
      <w:marLeft w:val="0"/>
      <w:marRight w:val="0"/>
      <w:marTop w:val="0"/>
      <w:marBottom w:val="0"/>
      <w:divBdr>
        <w:top w:val="none" w:sz="0" w:space="0" w:color="auto"/>
        <w:left w:val="none" w:sz="0" w:space="0" w:color="auto"/>
        <w:bottom w:val="none" w:sz="0" w:space="0" w:color="auto"/>
        <w:right w:val="none" w:sz="0" w:space="0" w:color="auto"/>
      </w:divBdr>
    </w:div>
    <w:div w:id="1514027994">
      <w:bodyDiv w:val="1"/>
      <w:marLeft w:val="0"/>
      <w:marRight w:val="0"/>
      <w:marTop w:val="0"/>
      <w:marBottom w:val="0"/>
      <w:divBdr>
        <w:top w:val="none" w:sz="0" w:space="0" w:color="auto"/>
        <w:left w:val="none" w:sz="0" w:space="0" w:color="auto"/>
        <w:bottom w:val="none" w:sz="0" w:space="0" w:color="auto"/>
        <w:right w:val="none" w:sz="0" w:space="0" w:color="auto"/>
      </w:divBdr>
    </w:div>
    <w:div w:id="2004892301">
      <w:bodyDiv w:val="1"/>
      <w:marLeft w:val="0"/>
      <w:marRight w:val="0"/>
      <w:marTop w:val="0"/>
      <w:marBottom w:val="0"/>
      <w:divBdr>
        <w:top w:val="none" w:sz="0" w:space="0" w:color="auto"/>
        <w:left w:val="none" w:sz="0" w:space="0" w:color="auto"/>
        <w:bottom w:val="none" w:sz="0" w:space="0" w:color="auto"/>
        <w:right w:val="none" w:sz="0" w:space="0" w:color="auto"/>
      </w:divBdr>
    </w:div>
    <w:div w:id="2086612382">
      <w:bodyDiv w:val="1"/>
      <w:marLeft w:val="0"/>
      <w:marRight w:val="0"/>
      <w:marTop w:val="0"/>
      <w:marBottom w:val="0"/>
      <w:divBdr>
        <w:top w:val="none" w:sz="0" w:space="0" w:color="auto"/>
        <w:left w:val="none" w:sz="0" w:space="0" w:color="auto"/>
        <w:bottom w:val="none" w:sz="0" w:space="0" w:color="auto"/>
        <w:right w:val="none" w:sz="0" w:space="0" w:color="auto"/>
      </w:divBdr>
    </w:div>
    <w:div w:id="2103918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1336</Words>
  <Characters>7349</Characters>
  <Application>Microsoft Office Word</Application>
  <DocSecurity>4</DocSecurity>
  <Lines>61</Lines>
  <Paragraphs>17</Paragraphs>
  <ScaleCrop>false</ScaleCrop>
  <Company/>
  <LinksUpToDate>false</LinksUpToDate>
  <CharactersWithSpaces>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MELHEM Remi [CELR]</cp:lastModifiedBy>
  <cp:revision>2</cp:revision>
  <dcterms:created xsi:type="dcterms:W3CDTF">2026-08-03T08:45:00Z</dcterms:created>
  <dcterms:modified xsi:type="dcterms:W3CDTF">2026-08-03T08:45:00Z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394b348-024b-49ca-a6cd-4c8010dc6776_Enabled">
    <vt:lpwstr>true</vt:lpwstr>
  </property>
  <property fmtid="{D5CDD505-2E9C-101B-9397-08002B2CF9AE}" pid="3" name="MSIP_Label_6394b348-024b-49ca-a6cd-4c8010dc6776_SetDate">
    <vt:lpwstr>2026-08-03T08:45:29Z</vt:lpwstr>
  </property>
  <property fmtid="{D5CDD505-2E9C-101B-9397-08002B2CF9AE}" pid="4" name="MSIP_Label_6394b348-024b-49ca-a6cd-4c8010dc6776_Method">
    <vt:lpwstr>Privileged</vt:lpwstr>
  </property>
  <property fmtid="{D5CDD505-2E9C-101B-9397-08002B2CF9AE}" pid="5" name="MSIP_Label_6394b348-024b-49ca-a6cd-4c8010dc6776_Name">
    <vt:lpwstr>Privé label</vt:lpwstr>
  </property>
  <property fmtid="{D5CDD505-2E9C-101B-9397-08002B2CF9AE}" pid="6" name="MSIP_Label_6394b348-024b-49ca-a6cd-4c8010dc6776_SiteId">
    <vt:lpwstr>d5bb6d35-8a82-4329-b49a-5030bd6497ab</vt:lpwstr>
  </property>
  <property fmtid="{D5CDD505-2E9C-101B-9397-08002B2CF9AE}" pid="7" name="MSIP_Label_6394b348-024b-49ca-a6cd-4c8010dc6776_ActionId">
    <vt:lpwstr>9265b550-914a-4f7f-aa6d-d395a36ee6e2</vt:lpwstr>
  </property>
  <property fmtid="{D5CDD505-2E9C-101B-9397-08002B2CF9AE}" pid="8" name="MSIP_Label_6394b348-024b-49ca-a6cd-4c8010dc6776_ContentBits">
    <vt:lpwstr>0</vt:lpwstr>
  </property>
  <property fmtid="{D5CDD505-2E9C-101B-9397-08002B2CF9AE}" pid="9" name="MSIP_Label_6394b348-024b-49ca-a6cd-4c8010dc6776_Tag">
    <vt:lpwstr>10, 0, 1, 1</vt:lpwstr>
  </property>
</Properties>
</file>