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on Redlining and 2014 Housing Values in Seattle</w:t>
      </w:r>
    </w:p>
    <w:p>
      <w:pPr>
        <w:pStyle w:val="Heading2"/>
      </w:pPr>
      <w:r>
        <w:t>1. Background and Motivation</w:t>
      </w:r>
    </w:p>
    <w:p>
      <w:r>
        <w:t>Redlining refers to the historic practice in which federal and local housing authorities labeled certain neighborhoods—often those with higher proportions of non-White residents—as “hazardous,” restricting access to home loans and investment. This contributed to long-term economic inequality. The purpose of this report is to examine whether homes in previously redlined areas of Seattle still show lower market values in 2014.</w:t>
      </w:r>
    </w:p>
    <w:p>
      <w:pPr>
        <w:pStyle w:val="Heading2"/>
      </w:pPr>
      <w:r>
        <w:t>2. Data and Descriptive Statistics</w:t>
      </w:r>
    </w:p>
    <w:p>
      <w:r>
        <w:t>The data consist of Seattle residential property transactions from 2014. After removing observations with missing values and excluding extreme outliers (e.g., properties with sales prices above $6.5 million), the final analytic sample contains 732 homes. Descriptive statistics summarize key variables used in the regression models, including sales price, redlined status, building area, bedrooms, bathrooms, and year remodeled.</w:t>
      </w:r>
    </w:p>
    <w:p>
      <w:pPr>
        <w:pStyle w:val="Heading2"/>
      </w:pPr>
      <w:r>
        <w:t>3. Models</w:t>
      </w:r>
    </w:p>
    <w:p>
      <w:r>
        <w:t>Two regression models were estimated: (1) a linear model with sales price as the dependent variable and (2) a log-linear model using the natural log of sales price. Both models include the same independent variables, chosen based on their economic relevance. The linear model allows interpretation in dollar terms; the log model provides percentage interpretations.</w:t>
      </w:r>
    </w:p>
    <w:p>
      <w:pPr>
        <w:pStyle w:val="Heading2"/>
      </w:pPr>
      <w:r>
        <w:t>4. Results</w:t>
      </w:r>
    </w:p>
    <w:p>
      <w:r>
        <w:t>Findings suggest that properties in redlined areas have lower home values on average—approximately $27,000 lower in the linear model and about 8% lower in the log model. However, these effects are not statistically significant after controlling for other factors. Building area is the strongest predictor of property value in both models. Bedrooms are negatively related to value, suggesting possible trade-offs with open floor plans. Year remodeled has a positive and statistically significant relationship with sales price. Heteroskedasticity was detected using the Breusch–Pagan test, so robust standard errors were used.</w:t>
      </w:r>
    </w:p>
    <w:p>
      <w:pPr>
        <w:pStyle w:val="Heading2"/>
      </w:pPr>
      <w:r>
        <w:t>5. Implications</w:t>
      </w:r>
    </w:p>
    <w:p>
      <w:r>
        <w:t>Although redlined areas appear to have lower home values, the results indicate that contemporary housing values are affected by a mix of structural, neighborhood, and historical characteristics. These findings contribute to understanding the long-term impact of discriminatory practices, though they stop short of establishing a causal effect.</w:t>
      </w:r>
    </w:p>
    <w:p>
      <w:pPr>
        <w:pStyle w:val="Heading2"/>
      </w:pPr>
      <w:r>
        <w:t>6. Limitations</w:t>
      </w:r>
    </w:p>
    <w:p>
      <w:r>
        <w:t>The analysis is limited by the use of a single year of data, reliance on observed variables only, potential measurement error in property characteristics, and lack of causal identification.</w:t>
      </w:r>
    </w:p>
    <w:p>
      <w:pPr>
        <w:pStyle w:val="Heading2"/>
      </w:pPr>
      <w:r>
        <w:t>7. Sources and AI Declaration</w:t>
      </w:r>
    </w:p>
    <w:p>
      <w:r>
        <w:t>Sources:</w:t>
      </w:r>
    </w:p>
    <w:p>
      <w:r>
        <w:t>- Aaronson, D., Hartley, D., &amp; Mazumder, B. (2021).</w:t>
      </w:r>
    </w:p>
    <w:p>
      <w:r>
        <w:t>- Seattle Open Data Portal.</w:t>
      </w:r>
    </w:p>
    <w:p/>
    <w:p>
      <w:r>
        <w:t>AI Declaration:</w:t>
      </w:r>
    </w:p>
    <w:p>
      <w:r>
        <w:t>We acknowledge the use of ChatGPT (https://chat.openai.com) to write, organize, and format parts of this report. Prompts used included: 'Write the full report' and 'Make this into a Word document.' The output was edited for accuracy and academic clarity.</w:t>
      </w:r>
    </w:p>
    <w:p>
      <w:pPr>
        <w:pStyle w:val="Heading2"/>
      </w:pPr>
      <w:r>
        <w:t>8. Technical Appendix</w:t>
      </w:r>
    </w:p>
    <w:p>
      <w:r>
        <w:t>Insert BP test results and heteroskedasticity-robust standard error matrices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