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Cash</w:t>
      </w:r>
      <w:r>
        <w:t xml:space="preserve"> </w:t>
      </w:r>
      <w:r>
        <w:t xml:space="preserve">Plus,</w:t>
      </w:r>
      <w:r>
        <w:t xml:space="preserve"> </w:t>
      </w:r>
      <w:r>
        <w:t xml:space="preserve">Safety</w:t>
      </w:r>
      <w:r>
        <w:t xml:space="preserve"> </w:t>
      </w:r>
      <w:r>
        <w:t xml:space="preserve">Plus?</w:t>
      </w:r>
      <w:r>
        <w:t xml:space="preserve"> </w:t>
      </w:r>
      <w:r>
        <w:t xml:space="preserve">Intimate</w:t>
      </w:r>
      <w:r>
        <w:t xml:space="preserve"> </w:t>
      </w:r>
      <w:r>
        <w:t xml:space="preserve">Partner</w:t>
      </w:r>
      <w:r>
        <w:t xml:space="preserve"> </w:t>
      </w:r>
      <w:r>
        <w:t xml:space="preserve">Violence</w:t>
      </w:r>
      <w:r>
        <w:t xml:space="preserve"> </w:t>
      </w:r>
      <w:r>
        <w:t xml:space="preserve">and</w:t>
      </w:r>
      <w:r>
        <w:t xml:space="preserve"> </w:t>
      </w:r>
      <w:r>
        <w:t xml:space="preserve">Productive</w:t>
      </w:r>
      <w:r>
        <w:t xml:space="preserve"> </w:t>
      </w:r>
      <w:r>
        <w:t xml:space="preserve">Inclusion</w:t>
      </w:r>
      <w:r>
        <w:t xml:space="preserve"> </w:t>
      </w:r>
      <w:r>
        <w:t xml:space="preserve">in</w:t>
      </w:r>
      <w:r>
        <w:t xml:space="preserve"> </w:t>
      </w:r>
      <w:r>
        <w:t xml:space="preserve">Mauritania</w:t>
      </w:r>
    </w:p>
    <w:p>
      <w:pPr>
        <w:pStyle w:val="Sous-titre"/>
      </w:pPr>
      <w:r>
        <w:t xml:space="preserve">Descriptive</w:t>
      </w:r>
      <w:r>
        <w:t xml:space="preserve"> </w:t>
      </w:r>
      <w:r>
        <w:t xml:space="preserve">statistics</w:t>
      </w:r>
    </w:p>
    <w:p>
      <w:pPr>
        <w:pStyle w:val="Author"/>
      </w:pPr>
      <w:r>
        <w:t xml:space="preserve">IBRAHIM</w:t>
      </w:r>
      <w:r>
        <w:t xml:space="preserve"> </w:t>
      </w:r>
      <w:r>
        <w:t xml:space="preserve">KASSOUM</w:t>
      </w:r>
      <w:r>
        <w:t xml:space="preserve"> </w:t>
      </w:r>
      <w:r>
        <w:t xml:space="preserve">Habibou</w:t>
      </w:r>
    </w:p>
    <w:p>
      <w:pPr>
        <w:pStyle w:val="Date"/>
      </w:pPr>
      <w:r>
        <w:t xml:space="preserve">25</w:t>
      </w:r>
      <w:r>
        <w:t xml:space="preserve"> </w:t>
      </w:r>
      <w:r>
        <w:t xml:space="preserve">March</w:t>
      </w:r>
      <w:r>
        <w:t xml:space="preserve"> </w:t>
      </w:r>
      <w:r>
        <w:t xml:space="preserve">2025</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pPr>
        <w:sectPr w:officer="true">
          <w:type w:val="continuous"/>
          <w:cols/>
          <w:pgSz w:h="15840" w:w="12240"/>
          <w:pgMar w:bottom="1417" w:footer="720" w:gutter="0" w:header="720" w:left="1417" w:right="1417" w:top="1417"/>
        </w:sectPr>
      </w:pPr>
    </w:p>
    <w:p>
      <w:r>
        <w:br w:type="page"/>
      </w:r>
    </w:p>
    <w:bookmarkStart w:id="20" w:name="summary"/>
    <w:p>
      <w:pPr>
        <w:pStyle w:val="Titre1"/>
      </w:pPr>
      <w:r>
        <w:t xml:space="preserve">Summary</w:t>
      </w:r>
    </w:p>
    <w:p>
      <w:pPr>
        <w:pStyle w:val="Normal"/>
      </w:pPr>
      <w:r>
        <w:rPr>
          <w:b/>
          <w:bCs/>
        </w:rPr>
        <w:t xml:space="preserve">Key Takeaways</w:t>
      </w:r>
      <w:r>
        <w:t xml:space="preserve">:</w:t>
      </w:r>
    </w:p>
    <w:p>
      <w:pPr>
        <w:pStyle w:val="Compact"/>
        <w:numPr>
          <w:ilvl w:val="0"/>
          <w:numId w:val="1001"/>
        </w:numPr>
      </w:pPr>
      <w:r>
        <w:t xml:space="preserve">Around 54 percent of the women who participated in the evaluation gave their consent for the IPV module.</w:t>
      </w:r>
    </w:p>
    <w:p>
      <w:pPr>
        <w:pStyle w:val="Compact"/>
        <w:numPr>
          <w:ilvl w:val="0"/>
          <w:numId w:val="1001"/>
        </w:numPr>
      </w:pPr>
      <w:r>
        <w:t xml:space="preserve">Reasons for non-consent to the IPV module appear balanced between the different intervention groups with no significant differences.</w:t>
      </w:r>
      <w:r>
        <w:br/>
      </w:r>
    </w:p>
    <w:p>
      <w:pPr>
        <w:pStyle w:val="Compact"/>
        <w:numPr>
          <w:ilvl w:val="0"/>
          <w:numId w:val="1001"/>
        </w:numPr>
      </w:pPr>
      <w:r>
        <w:t xml:space="preserve">Overall, beneficiaries of the productive inclusion program present higher rates of IPV than recipients of the Tekavoul program.</w:t>
      </w:r>
      <w:r>
        <w:br/>
      </w:r>
    </w:p>
    <w:p>
      <w:pPr>
        <w:pStyle w:val="Compact"/>
        <w:numPr>
          <w:ilvl w:val="0"/>
          <w:numId w:val="1001"/>
        </w:numPr>
      </w:pPr>
      <w:r>
        <w:t xml:space="preserve">The most common type of violence is the partner controlling behavior, affecting over half of the women in the entire sample. The variation between groups is small.</w:t>
      </w:r>
      <w:r>
        <w:br/>
      </w:r>
    </w:p>
    <w:p>
      <w:pPr>
        <w:pStyle w:val="Compact"/>
        <w:numPr>
          <w:ilvl w:val="0"/>
          <w:numId w:val="1001"/>
        </w:numPr>
      </w:pPr>
      <w:r>
        <w:t xml:space="preserve">Interestingly, intervention groups generally show slightly higher IPV rates than control groups, which could indicate:</w:t>
      </w:r>
    </w:p>
    <w:p>
      <w:pPr>
        <w:pStyle w:val="Compact"/>
        <w:numPr>
          <w:ilvl w:val="1"/>
          <w:numId w:val="1002"/>
        </w:numPr>
      </w:pPr>
      <w:r>
        <w:t xml:space="preserve">Increased awareness and comfort in reporting among intervention group participants.</w:t>
      </w:r>
      <w:r>
        <w:br/>
      </w:r>
    </w:p>
    <w:p>
      <w:pPr>
        <w:pStyle w:val="Compact"/>
        <w:numPr>
          <w:ilvl w:val="1"/>
          <w:numId w:val="1002"/>
        </w:numPr>
      </w:pPr>
      <w:r>
        <w:t xml:space="preserve">Potential backlash effects from economic or social interventions.</w:t>
      </w:r>
      <w:r>
        <w:br/>
      </w:r>
    </w:p>
    <w:p>
      <w:pPr>
        <w:pStyle w:val="Compact"/>
        <w:numPr>
          <w:ilvl w:val="0"/>
          <w:numId w:val="1001"/>
        </w:numPr>
      </w:pPr>
      <w:r>
        <w:t xml:space="preserve">The psychosocial package presents the highest rate of sexual IPV, while economic IPV is more common among recipients of the capital and full packages.</w:t>
      </w:r>
      <w:r>
        <w:br/>
      </w:r>
    </w:p>
    <w:p>
      <w:pPr>
        <w:pStyle w:val="Compact"/>
        <w:numPr>
          <w:ilvl w:val="0"/>
          <w:numId w:val="1001"/>
        </w:numPr>
      </w:pPr>
      <w:r>
        <w:t xml:space="preserve">The variables that will be considered in the heterogeneity analysis are:</w:t>
      </w:r>
    </w:p>
    <w:p>
      <w:pPr>
        <w:pStyle w:val="Compact"/>
        <w:numPr>
          <w:ilvl w:val="1"/>
          <w:numId w:val="1003"/>
        </w:numPr>
      </w:pPr>
      <w:r>
        <w:t xml:space="preserve">The sex of the household head</w:t>
      </w:r>
      <w:r>
        <w:br/>
      </w:r>
    </w:p>
    <w:p>
      <w:pPr>
        <w:pStyle w:val="Compact"/>
        <w:numPr>
          <w:ilvl w:val="1"/>
          <w:numId w:val="1003"/>
        </w:numPr>
      </w:pPr>
      <w:r>
        <w:t xml:space="preserve">The beneficiary relationship to the household head</w:t>
      </w:r>
      <w:r>
        <w:br/>
      </w:r>
    </w:p>
    <w:p>
      <w:pPr>
        <w:pStyle w:val="Compact"/>
        <w:numPr>
          <w:ilvl w:val="1"/>
          <w:numId w:val="1003"/>
        </w:numPr>
      </w:pPr>
      <w:r>
        <w:t xml:space="preserve">Household head literacy</w:t>
      </w:r>
      <w:r>
        <w:br/>
      </w:r>
    </w:p>
    <w:p>
      <w:pPr>
        <w:pStyle w:val="Compact"/>
        <w:numPr>
          <w:ilvl w:val="1"/>
          <w:numId w:val="1003"/>
        </w:numPr>
      </w:pPr>
      <w:r>
        <w:t xml:space="preserve">Beneficiary literacy</w:t>
      </w:r>
      <w:r>
        <w:br/>
      </w:r>
    </w:p>
    <w:p>
      <w:pPr>
        <w:pStyle w:val="Compact"/>
        <w:numPr>
          <w:ilvl w:val="1"/>
          <w:numId w:val="1003"/>
        </w:numPr>
      </w:pPr>
      <w:r>
        <w:t xml:space="preserve">Household head number of years of education (the median value as the threshold)</w:t>
      </w:r>
      <w:r>
        <w:br/>
      </w:r>
    </w:p>
    <w:p>
      <w:pPr>
        <w:pStyle w:val="Compact"/>
        <w:numPr>
          <w:ilvl w:val="1"/>
          <w:numId w:val="1003"/>
        </w:numPr>
      </w:pPr>
      <w:r>
        <w:t xml:space="preserve">Beneficiary number of years of education (the median value as the threshold)</w:t>
      </w:r>
    </w:p>
    <w:p>
      <w:pPr>
        <w:pStyle w:val="Compact"/>
        <w:numPr>
          <w:ilvl w:val="1"/>
          <w:numId w:val="1003"/>
        </w:numPr>
      </w:pPr>
      <w:r>
        <w:t xml:space="preserve">Beneficiary share of savings owned by their partner (the median value as the threshold)</w:t>
      </w:r>
    </w:p>
    <w:p>
      <w:pPr>
        <w:pStyle w:val="Compact"/>
        <w:numPr>
          <w:ilvl w:val="1"/>
          <w:numId w:val="1003"/>
        </w:numPr>
      </w:pPr>
      <w:r>
        <w:t xml:space="preserve">Control over earnings index (the median value as the threshold)</w:t>
      </w:r>
    </w:p>
    <w:p>
      <w:pPr>
        <w:pStyle w:val="Compact"/>
        <w:numPr>
          <w:ilvl w:val="1"/>
          <w:numId w:val="1003"/>
        </w:numPr>
      </w:pPr>
      <w:r>
        <w:t xml:space="preserve">Control over household resources index (the median value as the threshold)</w:t>
      </w:r>
    </w:p>
    <w:p>
      <w:pPr>
        <w:pStyle w:val="Compact"/>
        <w:numPr>
          <w:ilvl w:val="1"/>
          <w:numId w:val="1003"/>
        </w:numPr>
      </w:pPr>
      <w:r>
        <w:t xml:space="preserve">Intra-household dynamics index (the median value as the threshold)</w:t>
      </w:r>
    </w:p>
    <w:p>
      <w:pPr>
        <w:pStyle w:val="Compact"/>
        <w:numPr>
          <w:ilvl w:val="1"/>
          <w:numId w:val="1003"/>
        </w:numPr>
      </w:pPr>
      <w:r>
        <w:t xml:space="preserve">Beneficiary’s share of total revenue (the median value as the threshold)</w:t>
      </w:r>
    </w:p>
    <w:p>
      <w:pPr>
        <w:pStyle w:val="Compact"/>
        <w:numPr>
          <w:ilvl w:val="1"/>
          <w:numId w:val="1003"/>
        </w:numPr>
      </w:pPr>
      <w:r>
        <w:t xml:space="preserve">Age gap between the household head and the beneficiary (the median value as the threshold)</w:t>
      </w:r>
    </w:p>
    <w:p>
      <w:pPr>
        <w:pStyle w:val="Compact"/>
        <w:numPr>
          <w:ilvl w:val="0"/>
          <w:numId w:val="1001"/>
        </w:numPr>
      </w:pPr>
      <w:r>
        <w:t xml:space="preserve">Enumerators fixed effects (FE) will be included in all regressions since there is variation in the number of surveyed individuals across treatment group.</w:t>
      </w:r>
    </w:p>
    <w:p>
      <w:r>
        <w:br w:type="page"/>
      </w:r>
    </w:p>
    <w:bookmarkEnd w:id="20"/>
    <w:bookmarkStart w:id="23" w:name="consent-for-the-ipv-module-balance"/>
    <w:p>
      <w:pPr>
        <w:pStyle w:val="Titre1"/>
      </w:pPr>
      <w:r>
        <w:t xml:space="preserve">Consent for the IPV module balance</w:t>
      </w:r>
    </w:p>
    <w:p>
      <w:pPr>
        <w:pStyle w:val="Normal"/>
      </w:pPr>
      <w:r>
        <w:t xml:space="preserve">The following table presents the balance test for the IPV (Intimate Partner Violence) module from the second follow-up survey. Understanding this balance is important because it helps determine whether the sample remains properly randomized. Any imbalance could potentially affect the results, which is particularly important since IPV is the main outcome measure in this analysis.</w:t>
      </w:r>
    </w:p>
    <w:p>
      <w:pPr>
        <w:pStyle w:val="Compact"/>
        <w:numPr>
          <w:ilvl w:val="0"/>
          <w:numId w:val="1004"/>
        </w:numPr>
      </w:pPr>
      <w:r>
        <w:t xml:space="preserve">Out of the total sample size of 2,561 individuals, 54% (1,371 respondents) participated in the IPV module. This indicates that just over half of the sample provided consent, which is a common challenge in sensitive data collection.</w:t>
      </w:r>
    </w:p>
    <w:p>
      <w:pPr>
        <w:pStyle w:val="Compact"/>
        <w:numPr>
          <w:ilvl w:val="0"/>
          <w:numId w:val="1004"/>
        </w:numPr>
      </w:pPr>
      <w:r>
        <w:t xml:space="preserve">A notable proportion (28 percent) of non-participants were over the age of 50 and 9 percent of them are widow hence less exposed to the IPV.</w:t>
      </w:r>
    </w:p>
    <w:p>
      <w:pPr>
        <w:pStyle w:val="Compact"/>
        <w:numPr>
          <w:ilvl w:val="0"/>
          <w:numId w:val="1004"/>
        </w:numPr>
      </w:pPr>
      <w:r>
        <w:t xml:space="preserve">The remaining 9 percent of the women did not respond due to various reasons, including household refusal, absence during the survey period, or the respondent no longer residing in the household.</w:t>
      </w:r>
    </w:p>
    <w:p>
      <w:pPr>
        <w:pStyle w:val="Compact"/>
        <w:numPr>
          <w:ilvl w:val="0"/>
          <w:numId w:val="1004"/>
        </w:numPr>
      </w:pPr>
      <w:r>
        <w:rPr>
          <w:i/>
          <w:iCs/>
        </w:rPr>
        <w:t xml:space="preserve">There are 15 women in the cash assignment group that are above 50 and included in the tekavoul program impact evaluation and answered to the IPV module</w:t>
      </w:r>
    </w:p>
    <w:p>
      <w:pPr>
        <w:pStyle w:val="Compact"/>
        <w:numPr>
          <w:ilvl w:val="0"/>
          <w:numId w:val="1004"/>
        </w:numPr>
      </w:pPr>
      <w:r>
        <w:rPr>
          <w:i/>
          <w:iCs/>
        </w:rPr>
        <w:t xml:space="preserve">27 women in the cash assignment group are aged above 50</w:t>
      </w:r>
      <w:r>
        <w:t xml:space="preserv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2,561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Status of consent to the IPV module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 répondante clef a participé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1,371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Autre (preciser)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 répondante clef est agé de plus de 50 ans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 répondante clef est veuve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 répondante clef n'est pas disponible pendant toute la période de l'enquête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 répondante clef n'habite pas dans le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ménage non-trouvé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Refus du ménage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(0.2%)</w:t>
            </w:r>
          </w:p>
        </w:tc>
      </w:tr>
      <w:tr>
        <w:trPr>
          <w:cantSplit/>
        </w:trPr>
        <w:tc>
          <w:tcPr>
            <w:gridSpan w:val="2"/>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Normal"/>
      </w:pPr>
      <w:r>
        <w:t xml:space="preserve">In the following, I performed balance checks on the variable consent to the IPV module by type of treatment. Overall, non-response is balanced between treatment groups.</w:t>
      </w:r>
    </w:p>
    <w:bookmarkStart w:id="21" w:name="tekavoul-program"/>
    <w:p>
      <w:pPr>
        <w:pStyle w:val="Titre2"/>
      </w:pPr>
      <w:r>
        <w:t xml:space="preserve">Tekavoul program</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531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**Cash Assignment**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971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La répondante clef a participé</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0.46(0.50)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0.43(0.50)</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-0.143</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est agé de plus de 50 ans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0.35(0.48)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0.40(0.49)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0.182*</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Autre (preciser)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0.068</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est veuve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0.07(0.26)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0.051</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n'est pas disponible pendant toute la période de l'enquête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-0.19</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Refus du ménage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-1.458</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ménage non-trouvé</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-1.718**</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n'habite pas dans le ménage.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13.159***</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body10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4"/>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Fixed effects using randomization strata are included in all estimation regressions. *** p &lt; 0.01, ** p &lt; 0.05, * p &lt; 0.1.</w:t>
            </w:r>
          </w:p>
        </w:tc>
      </w:tr>
    </w:tbl>
    <w:bookmarkEnd w:id="21"/>
    <w:bookmarkStart w:id="22" w:name="productive-inclusion-program"/>
    <w:p>
      <w:pPr>
        <w:pStyle w:val="Titre2"/>
      </w:pPr>
      <w:r>
        <w:t xml:space="preserve">Productive inclusion program</w:t>
      </w:r>
    </w:p>
    <w:tbl xmlns:w14="http://schemas.microsoft.com/office/word/2010/wordml">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gridSpan w:val="13"/>
            <w:tcBorders>
              <w:bottom w:val="single" w:sz="2" w:space="0" w:color="000000"/>
              <w:top w:val="single" w:sz="24"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true"/>
                <w:u w:val="none"/>
                <w:sz w:val="18"/>
                <w:szCs w:val="18"/>
                <w:color w:val="000000"/>
              </w:rPr>
            </w:pPr>
            <w:r>
              <w:rPr>
                <w:rFonts w:ascii="Times New Roman" w:hAnsi="Helvetica" w:eastAsia="Helvetica" w:cs="Helvetica"/>
                <w:i w:val="false"/>
                <w:b w:val="true"/>
                <w:u w:val="none"/>
                <w:sz w:val="18"/>
                <w:szCs w:val="18"/>
                <w:color w:val="000000"/>
              </w:rPr>
              <w:t xml:space="preserve">Table : Balance Table</w:t>
            </w:r>
          </w:p>
        </w:tc>
      </w:tr>
      <w:tr>
        <w:trPr>
          <w:trHeight w:val="360" w:hRule="auto"/>
          <w:tblHeader/>
        </w:trPr>
        header 2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Variable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**Control**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571</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**Capital**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357</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**Psychosocial**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399</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**Full**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N = 303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(2)-(3)</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(3)-(4)</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Joint F-test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P-value</w:t>
            </w:r>
          </w:p>
        </w:tc>
        <w:tc>
          <w:tcPr>
            <w:tcBorders>
              <w:bottom w:val="single"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Pooled F-test </w:t>
            </w:r>
            <w:r>
              <w:rPr>
                <w:rFonts w:ascii="Times New Roman" w:hAnsi="Helvetica" w:eastAsia="Helvetica" w:cs="Helvetica"/>
                <w:i w:val="false"/>
                <w:b w:val="false"/>
                <w:u w:val="none"/>
                <w:sz w:val="18"/>
                <w:szCs w:val="18"/>
                <w:color w:val="000000"/>
              </w:rPr>
              <w:br/>
            </w:r>
            <w:r>
              <w:rPr>
                <w:rFonts w:ascii="Times New Roman" w:hAnsi="Helvetica" w:eastAsia="Helvetica" w:cs="Helvetica"/>
                <w:i w:val="false"/>
                <w:b w:val="false"/>
                <w:u w:val="none"/>
                <w:sz w:val="18"/>
                <w:szCs w:val="18"/>
                <w:color w:val="000000"/>
              </w:rPr>
              <w:t xml:space="preserve"> P-value</w:t>
            </w:r>
          </w:p>
        </w:tc>
      </w:tr>
      <w:tr>
        <w:trPr>
          <w:trHeight w:val="360" w:hRule="auto"/>
        </w:trPr>
        body 1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La répondante clef a participé</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0.70(0.46)</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0.67(0.47)</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0.66(0.47)</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0.67(0.47)</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0.149</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0.142</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0.019</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-0.023</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-0.036</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0.012</w:t>
            </w:r>
          </w:p>
        </w:tc>
        <w:tc>
          <w:tcPr>
            <w:tcBorders>
              <w:bottom w:val="dotted" w:sz="2" w:space="0" w:color="000000"/>
              <w:top w:val="single"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-0.157</w:t>
            </w:r>
          </w:p>
        </w:tc>
      </w:tr>
      <w:tr>
        <w:trPr>
          <w:trHeight w:val="360" w:hRule="auto"/>
        </w:trPr>
        body 2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est agé de plus de 50 ans</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0.15(0.36)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0.14(0.34)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0.097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-0.049</w:t>
            </w:r>
          </w:p>
        </w:tc>
      </w:tr>
      <w:tr>
        <w:trPr>
          <w:trHeight w:val="360" w:hRule="auto"/>
        </w:trPr>
        body 3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Autre (preciser)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0.02(0.15)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0.03(0.17)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0.269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-0.288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-0.334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0.514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0.058</w:t>
            </w:r>
          </w:p>
        </w:tc>
      </w:tr>
      <w:tr>
        <w:trPr>
          <w:trHeight w:val="360" w:hRule="auto"/>
        </w:trPr>
        body 4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est veuve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0.06(0.24)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0.10(0.29)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0.10(0.30)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0.12(0.32)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-0.694*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0.544*</w:t>
            </w:r>
          </w:p>
        </w:tc>
      </w:tr>
      <w:tr>
        <w:trPr>
          <w:trHeight w:val="360" w:hRule="auto"/>
        </w:trPr>
        body 5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n'est pas disponible pendant toute la période de l'enquête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0.05(0.23)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0.08(0.27)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0.04(0.20)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0.04(0.19)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0.242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0.419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0.817**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0.154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2.531*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-0.023</w:t>
            </w:r>
          </w:p>
        </w:tc>
      </w:tr>
      <w:tr>
        <w:trPr>
          <w:trHeight w:val="360" w:hRule="auto"/>
        </w:trPr>
        body 6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Refus du ménage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12.033***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-0.648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-13.783***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0.982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0.112</w:t>
            </w:r>
          </w:p>
        </w:tc>
      </w:tr>
      <w:tr>
        <w:trPr>
          <w:trHeight w:val="360" w:hRule="auto"/>
        </w:trPr>
        body 7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ménage non-trouvé</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-12.96***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-13.468***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0.022</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13.324***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0.501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11.969***</w:t>
            </w:r>
          </w:p>
        </w:tc>
      </w:tr>
      <w:tr>
        <w:trPr>
          <w:trHeight w:val="360" w:hRule="auto"/>
        </w:trPr>
        body 8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La répondante clef n'habite pas dans le ménage.</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0.00(0.00)</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0.00(0.05)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0.01(0.08)</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14.201***</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-0.225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-13.439***</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-13.686***</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-0.945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1.555</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-0.652</w:t>
            </w:r>
          </w:p>
        </w:tc>
      </w:tr>
      <w:tr>
        <w:trPr>
          <w:trHeight w:val="360" w:hRule="auto"/>
        </w:trPr>
        body 9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cluster</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43</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27</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24</w:t>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dotted"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body10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 strata</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10</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12</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13</w:t>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c>
          <w:tcPr>
            <w:tcBorders>
              <w:bottom w:val="single" w:sz="2" w:space="0" w:color="000000"/>
              <w:top w:val="dotted" w:sz="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
            </w:r>
          </w:p>
        </w:tc>
      </w:tr>
      <w:tr>
        <w:trPr>
          <w:trHeight w:val="360" w:hRule="auto"/>
        </w:trPr>
        footer 1
        <w:tc>
          <w:tcPr>
            <w:gridSpan w:val="13"/>
            <w:tcBorders>
              <w:bottom w:val="single" w:sz="2" w:space="0" w:color="000000"/>
              <w:top w:val="single" w:sz="2"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Helvetica" w:eastAsia="Helvetica" w:cs="Helvetica"/>
                <w:i w:val="false"/>
                <w:b w:val="false"/>
                <w:u w:val="none"/>
                <w:sz w:val="18"/>
                <w:szCs w:val="18"/>
                <w:color w:val="000000"/>
              </w:rPr>
            </w:pPr>
            <w:r>
              <w:rPr>
                <w:rFonts w:ascii="Times New Roman" w:hAnsi="Helvetica" w:eastAsia="Helvetica" w:cs="Helvetica"/>
                <w:i w:val="false"/>
                <w:b w:val="false"/>
                <w:u w:val="none"/>
                <w:sz w:val="18"/>
                <w:szCs w:val="18"/>
                <w:color w:val="000000"/>
              </w:rPr>
              <w:t xml:space="preserve">Notes: Standard errors for all tests are clustered at the Social Promotion Space level. Fixed effects using randomization strata are included in all estimation regressions. The joint F-test shows the p-value from a test of equality of treatment arms. While the pooled F-test shows the p-value from a test of pooled treatment (i.e., a regression with a dummy for any treatment arm). *** p &lt; 0.01, ** p &lt; 0.05, * p &lt; 0.1.</w:t>
            </w:r>
          </w:p>
        </w:tc>
      </w:tr>
    </w:tbl>
    <w:p>
      <w:r>
        <w:br w:type="page"/>
      </w:r>
    </w:p>
    <w:bookmarkEnd w:id="22"/>
    <w:bookmarkEnd w:id="23"/>
    <w:bookmarkStart w:id="51" w:name="descriptive-statistics"/>
    <w:p>
      <w:pPr>
        <w:pStyle w:val="Titre1"/>
      </w:pPr>
      <w:r>
        <w:t xml:space="preserve">Descriptive Statistics</w:t>
      </w:r>
    </w:p>
    <w:bookmarkStart w:id="31" w:name="ipv-variables"/>
    <w:p>
      <w:pPr>
        <w:pStyle w:val="Titre2"/>
      </w:pPr>
      <w:r>
        <w:t xml:space="preserve">IPV variables</w:t>
      </w:r>
    </w:p>
    <w:p>
      <w:pPr>
        <w:pStyle w:val="Normal"/>
      </w:pPr>
      <w:r>
        <w:t xml:space="preserve">The following tables primarily consider women who provided consent for the IPV module.</w:t>
      </w:r>
      <w:r>
        <w:br/>
      </w:r>
      <w:r>
        <w:t xml:space="preserve">The observed differences between this balance table and the attrition table in the following sections arise from the fact that some women did not provide consent for participation.</w:t>
      </w:r>
    </w:p>
    <w:p>
      <w:pPr>
        <w:pStyle w:val="Corpsdetexte"/>
      </w:pPr>
      <w:r>
        <w:rPr>
          <w:b/>
          <w:bCs/>
        </w:rPr>
        <w:t xml:space="preserve">Index construction</w:t>
      </w:r>
      <w:r>
        <w:t xml:space="preserve">: See:</w:t>
      </w:r>
      <w:r>
        <w:t xml:space="preserve"> </w:t>
      </w:r>
      <w:hyperlink r:id="rId24">
        <w:r>
          <w:rPr>
            <w:rStyle w:val="Lienhypertexte"/>
          </w:rPr>
          <w:t xml:space="preserve">https://journals.plos.org/plosone/article?id=10.1371/journal.pone.0282339</w:t>
        </w:r>
      </w:hyperlink>
    </w:p>
    <w:p>
      <w:pPr>
        <w:pStyle w:val="Compact"/>
        <w:numPr>
          <w:ilvl w:val="0"/>
          <w:numId w:val="1005"/>
        </w:numPr>
      </w:pPr>
      <w:r>
        <w:t xml:space="preserve">A binary variable coded as 1 is created if a female beneficiary of the program responded affirmatively to any of the items related to IPV.</w:t>
      </w:r>
    </w:p>
    <w:p>
      <w:pPr>
        <w:pStyle w:val="Compact"/>
        <w:numPr>
          <w:ilvl w:val="0"/>
          <w:numId w:val="1005"/>
        </w:numPr>
      </w:pPr>
      <w:r>
        <w:t xml:space="preserve">Additionally, a continuous variable is constructed as the standardized average of the responses to each of these items that report the frequency of instances of each type of violence experienced in the past 12 months. This variable is measured on a 4-point Likert frequency scale (0 = Never, 1 = Once, 2 = Sometimes, 3 = Often). It is coded as</w:t>
      </w:r>
      <w:r>
        <w:t xml:space="preserve"> </w:t>
      </w:r>
      <w:r>
        <w:t xml:space="preserve">“</w:t>
      </w:r>
      <w:r>
        <w:t xml:space="preserve">missing</w:t>
      </w:r>
      <w:r>
        <w:t xml:space="preserve">”</w:t>
      </w:r>
      <w:r>
        <w:t xml:space="preserve"> </w:t>
      </w:r>
      <w:r>
        <w:t xml:space="preserve">only if all the items are missing. The range of the continuous variable is 0–3.</w:t>
      </w:r>
    </w:p>
    <w:p>
      <w:pPr>
        <w:pStyle w:val="Normal"/>
      </w:pPr>
      <w:r>
        <w:t xml:space="preserve">For all types of violence (except</w:t>
      </w:r>
      <w:r>
        <w:t xml:space="preserve"> </w:t>
      </w:r>
      <w:r>
        <w:rPr>
          <w:i/>
          <w:iCs/>
        </w:rPr>
        <w:t xml:space="preserve">controlling behavior</w:t>
      </w:r>
      <w:r>
        <w:t xml:space="preserve">), the survey typically asks three sequential questions:</w:t>
      </w:r>
    </w:p>
    <w:p>
      <w:pPr>
        <w:pStyle w:val="Compact"/>
        <w:numPr>
          <w:ilvl w:val="0"/>
          <w:numId w:val="1006"/>
        </w:numPr>
      </w:pPr>
      <w:r>
        <w:t xml:space="preserve">Whether it has ever happened;</w:t>
      </w:r>
      <w:r>
        <w:br/>
      </w:r>
    </w:p>
    <w:p>
      <w:pPr>
        <w:pStyle w:val="Compact"/>
        <w:numPr>
          <w:ilvl w:val="0"/>
          <w:numId w:val="1006"/>
        </w:numPr>
      </w:pPr>
      <w:r>
        <w:t xml:space="preserve">Whether it happened in the past 12 months;</w:t>
      </w:r>
      <w:r>
        <w:br/>
      </w:r>
    </w:p>
    <w:p>
      <w:pPr>
        <w:pStyle w:val="Compact"/>
        <w:numPr>
          <w:ilvl w:val="0"/>
          <w:numId w:val="1006"/>
        </w:numPr>
      </w:pPr>
      <w:r>
        <w:t xml:space="preserve">For incidents in the past 12 months, the frequency (once, occasionally, or often)</w:t>
      </w:r>
    </w:p>
    <w:p>
      <w:r>
        <w:br w:type="page"/>
      </w:r>
    </w:p>
    <w:bookmarkStart w:id="25" w:name="partners-controlling-behavior"/>
    <w:p>
      <w:pPr>
        <w:pStyle w:val="Titre3"/>
      </w:pPr>
      <w:r>
        <w:t xml:space="preserve">Partner’s controlling behavior</w:t>
      </w:r>
    </w:p>
    <w:p>
      <w:pPr>
        <w:pStyle w:val="Compact"/>
        <w:numPr>
          <w:ilvl w:val="0"/>
          <w:numId w:val="1007"/>
        </w:numPr>
      </w:pPr>
      <w:r>
        <w:t xml:space="preserve">Overall rates range between 51 percent and 56 percent across program groups.</w:t>
      </w:r>
    </w:p>
    <w:p>
      <w:pPr>
        <w:pStyle w:val="Compact"/>
        <w:numPr>
          <w:ilvl w:val="0"/>
          <w:numId w:val="1007"/>
        </w:numPr>
      </w:pPr>
      <w:r>
        <w:t xml:space="preserve">The control group rates are around 51 percent in the Productive Inclusion program, which is slightly lower than the intervention groups’ average for the same program (between 52 and 56 percent).</w:t>
      </w:r>
    </w:p>
    <w:p>
      <w:pPr>
        <w:pStyle w:val="Compact"/>
        <w:numPr>
          <w:ilvl w:val="0"/>
          <w:numId w:val="1007"/>
        </w:numPr>
      </w:pPr>
      <w:r>
        <w:t xml:space="preserve">In the Tekavoul program, the control group presents around 3 percentage points more controlling behavior than the intervention group.</w:t>
      </w:r>
    </w:p>
    <w:p>
      <w:pPr>
        <w:pStyle w:val="Compact"/>
        <w:numPr>
          <w:ilvl w:val="0"/>
          <w:numId w:val="1007"/>
        </w:numPr>
      </w:pPr>
      <w:r>
        <w:t xml:space="preserve">This type of IPV contains question on:</w:t>
      </w:r>
    </w:p>
    <w:p>
      <w:pPr>
        <w:pStyle w:val="Compact"/>
        <w:numPr>
          <w:ilvl w:val="1"/>
          <w:numId w:val="1008"/>
        </w:numPr>
      </w:pPr>
      <w:r>
        <w:t xml:space="preserve">ipv1: Being jealous or angry if the wife speaks to other men,</w:t>
      </w:r>
    </w:p>
    <w:p>
      <w:pPr>
        <w:pStyle w:val="Compact"/>
        <w:numPr>
          <w:ilvl w:val="1"/>
          <w:numId w:val="1008"/>
        </w:numPr>
      </w:pPr>
      <w:r>
        <w:t xml:space="preserve">ipv2: Accusing the wife of being unfaithful,</w:t>
      </w:r>
    </w:p>
    <w:p>
      <w:pPr>
        <w:pStyle w:val="Compact"/>
        <w:numPr>
          <w:ilvl w:val="1"/>
          <w:numId w:val="1008"/>
        </w:numPr>
      </w:pPr>
      <w:r>
        <w:t xml:space="preserve">ipv3: Trying to prevent the wife from seeing family or friends,</w:t>
      </w:r>
    </w:p>
    <w:p>
      <w:pPr>
        <w:pStyle w:val="Compact"/>
        <w:numPr>
          <w:ilvl w:val="1"/>
          <w:numId w:val="1008"/>
        </w:numPr>
      </w:pPr>
      <w:r>
        <w:t xml:space="preserve">ipv5: Insisting on knowing the wife’s whereabouts at all times,</w:t>
      </w:r>
    </w:p>
    <w:p>
      <w:pPr>
        <w:pStyle w:val="Compact"/>
        <w:numPr>
          <w:ilvl w:val="1"/>
          <w:numId w:val="1008"/>
        </w:numPr>
      </w:pPr>
      <w:r>
        <w:t xml:space="preserve">ipv6: Expecting the wife to ask permission before seeking healthcare,</w:t>
      </w:r>
    </w:p>
    <w:p>
      <w:pPr>
        <w:pStyle w:val="Compact"/>
        <w:numPr>
          <w:ilvl w:val="1"/>
          <w:numId w:val="1008"/>
        </w:numPr>
      </w:pPr>
      <w:r>
        <w:t xml:space="preserve">ipv7: Preventing the wife from working outside the home.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preserve">Tekavoul</w:t>
            </w:r>
          </w:p>
        </w:tc>
        <w:tc>
          <w:tcPr>
            <w:tcBorders>
              <w:top w:val="single" w:sz="16" w:space="0" w:color="D3D3D3"/>
              <w:bottom w:val="single" w:sz="16" w:space="0" w:color="D3D3D3"/>
            </w:tcBorders>
            <w:gridSpan w:val="5"/>
          </w:tcPr>
          <w:p>
            <w:pPr>
              <w:spacing w:before="0" w:after="60"/>
              <w:keepNext/>
              <w:jc w:val="center"/>
            </w:pPr>
            <w:r>
              <w:rPr>
                <w:rFonts w:ascii="Calibri" w:hAnsi="Calibri"/>
                <w:sz w:val="20"/>
              </w:rPr>
              <w:t xml:space="preserve">Productive inclusion</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preserve">Productive inclusion (Pool)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Partner's controlling behavior</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627</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230</w:t>
            </w:r>
          </w:p>
        </w:tc>
        <w:tc>
          <w:tcPr>
            <w:tcBorders>
              <w:bottom w:val="single" w:sz="16" w:space="0" w:color="D3D3D3"/>
            </w:tcBorders>
          </w:tcPr>
          <w:p>
            <w:pPr>
              <w:spacing w:before="0" w:after="60"/>
              <w:keepNext/>
              <w:jc w:val="center"/>
            </w:pPr>
            <w:r>
              <w:rPr>
                <w:b w:val="true"/>
                <w:rFonts w:ascii="Calibri" w:hAnsi="Calibri"/>
                <w:sz w:val="20"/>
              </w:rPr>
              <w:t xml:space="preserve">Cash Assignment</w:t>
            </w:r>
            <w:r>
              <w:rPr>
                <w:rFonts w:ascii="Calibri" w:hAnsi="Calibri"/>
                <w:sz w:val="20"/>
              </w:rPr>
              <w:t xml:space="preserve"/>
            </w:r>
            <w:r>
              <w:rPr>
                <w:rFonts w:ascii="Calibri" w:hAnsi="Calibri"/>
                <w:sz w:val="20"/>
              </w:rPr>
              <w:t xml:space="preserve"> </w:t>
            </w:r>
            <w:r>
              <w:rPr>
                <w:rFonts w:ascii="Calibri" w:hAnsi="Calibri"/>
                <w:sz w:val="20"/>
              </w:rPr>
              <w:t xml:space="preserve">N = 397</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1,064</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382</w:t>
            </w:r>
          </w:p>
        </w:tc>
        <w:tc>
          <w:tcPr>
            <w:tcBorders>
              <w:bottom w:val="single" w:sz="16" w:space="0" w:color="D3D3D3"/>
            </w:tcBorders>
          </w:tcPr>
          <w:p>
            <w:pPr>
              <w:spacing w:before="0" w:after="60"/>
              <w:keepNext/>
              <w:jc w:val="center"/>
            </w:pPr>
            <w:r>
              <w:rPr>
                <w:b w:val="true"/>
                <w:rFonts w:ascii="Calibri" w:hAnsi="Calibri"/>
                <w:sz w:val="20"/>
              </w:rPr>
              <w:t xml:space="preserve">Capital</w:t>
            </w:r>
            <w:r>
              <w:rPr>
                <w:rFonts w:ascii="Calibri" w:hAnsi="Calibri"/>
                <w:sz w:val="20"/>
              </w:rPr>
              <w:t xml:space="preserve"/>
            </w:r>
            <w:r>
              <w:rPr>
                <w:rFonts w:ascii="Calibri" w:hAnsi="Calibri"/>
                <w:sz w:val="20"/>
              </w:rPr>
              <w:t xml:space="preserve"> </w:t>
            </w:r>
            <w:r>
              <w:rPr>
                <w:rFonts w:ascii="Calibri" w:hAnsi="Calibri"/>
                <w:sz w:val="20"/>
              </w:rPr>
              <w:t xml:space="preserve">N = 232</w:t>
            </w:r>
          </w:p>
        </w:tc>
        <w:tc>
          <w:tcPr>
            <w:tcBorders>
              <w:bottom w:val="single" w:sz="16" w:space="0" w:color="D3D3D3"/>
            </w:tcBorders>
          </w:tcPr>
          <w:p>
            <w:pPr>
              <w:spacing w:before="0" w:after="60"/>
              <w:keepNext/>
              <w:jc w:val="center"/>
            </w:pPr>
            <w:r>
              <w:rPr>
                <w:b w:val="true"/>
                <w:rFonts w:ascii="Calibri" w:hAnsi="Calibri"/>
                <w:sz w:val="20"/>
              </w:rPr>
              <w:t xml:space="preserve">Psychosocial</w:t>
            </w:r>
            <w:r>
              <w:rPr>
                <w:rFonts w:ascii="Calibri" w:hAnsi="Calibri"/>
                <w:sz w:val="20"/>
              </w:rPr>
              <w:t xml:space="preserve"/>
            </w:r>
            <w:r>
              <w:rPr>
                <w:rFonts w:ascii="Calibri" w:hAnsi="Calibri"/>
                <w:sz w:val="20"/>
              </w:rPr>
              <w:t xml:space="preserve"> </w:t>
            </w:r>
            <w:r>
              <w:rPr>
                <w:rFonts w:ascii="Calibri" w:hAnsi="Calibri"/>
                <w:sz w:val="20"/>
              </w:rPr>
              <w:t xml:space="preserve">N = 251</w:t>
            </w:r>
          </w:p>
        </w:tc>
        <w:tc>
          <w:tcPr>
            <w:tcBorders>
              <w:bottom w:val="single" w:sz="16" w:space="0" w:color="D3D3D3"/>
            </w:tcBorders>
          </w:tcPr>
          <w:p>
            <w:pPr>
              <w:spacing w:before="0" w:after="60"/>
              <w:keepNext/>
              <w:jc w:val="center"/>
            </w:pPr>
            <w:r>
              <w:rPr>
                <w:b w:val="true"/>
                <w:rFonts w:ascii="Calibri" w:hAnsi="Calibri"/>
                <w:sz w:val="20"/>
              </w:rPr>
              <w:t xml:space="preserve">Full</w:t>
            </w:r>
            <w:r>
              <w:rPr>
                <w:rFonts w:ascii="Calibri" w:hAnsi="Calibri"/>
                <w:sz w:val="20"/>
              </w:rPr>
              <w:t xml:space="preserve"/>
            </w:r>
            <w:r>
              <w:rPr>
                <w:rFonts w:ascii="Calibri" w:hAnsi="Calibri"/>
                <w:sz w:val="20"/>
              </w:rPr>
              <w:t xml:space="preserve"> </w:t>
            </w:r>
            <w:r>
              <w:rPr>
                <w:rFonts w:ascii="Calibri" w:hAnsi="Calibri"/>
                <w:sz w:val="20"/>
              </w:rPr>
              <w:t xml:space="preserve">N = 199</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1,064</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382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Pool</w:t>
            </w:r>
            <w:r>
              <w:rPr>
                <w:rFonts w:ascii="Calibri" w:hAnsi="Calibri"/>
                <w:sz w:val="20"/>
              </w:rPr>
              <w:t xml:space="preserve"/>
            </w:r>
            <w:r>
              <w:rPr>
                <w:rFonts w:ascii="Calibri" w:hAnsi="Calibri"/>
                <w:sz w:val="20"/>
              </w:rPr>
              <w:t xml:space="preserve"> </w:t>
            </w:r>
            <w:r>
              <w:rPr>
                <w:rFonts w:ascii="Calibri" w:hAnsi="Calibri"/>
                <w:sz w:val="20"/>
              </w:rPr>
              <w:t xml:space="preserve">N = 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Binary for control IPV In the last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Control IPV intensity index z-score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bl>
    <w:p>
      <w:r>
        <w:br w:type="page"/>
      </w:r>
    </w:p>
    <w:bookmarkEnd w:id="25"/>
    <w:bookmarkStart w:id="26" w:name="emotional-violence"/>
    <w:p>
      <w:pPr>
        <w:pStyle w:val="Titre3"/>
      </w:pPr>
      <w:r>
        <w:t xml:space="preserve">Emotional Violence</w:t>
      </w:r>
    </w:p>
    <w:p>
      <w:pPr>
        <w:pStyle w:val="Compact"/>
        <w:numPr>
          <w:ilvl w:val="0"/>
          <w:numId w:val="1009"/>
        </w:numPr>
      </w:pPr>
      <w:r>
        <w:t xml:space="preserve">Emotional IPV rates are considerably lower than controlling behaviors, ranging between 7 percent and 10 percent across groups.</w:t>
      </w:r>
    </w:p>
    <w:p>
      <w:pPr>
        <w:pStyle w:val="Compact"/>
        <w:numPr>
          <w:ilvl w:val="0"/>
          <w:numId w:val="1009"/>
        </w:numPr>
      </w:pPr>
      <w:r>
        <w:t xml:space="preserve">The Capital package presents slightly higher rates at 10.27 percent compared to the other interventions.</w:t>
      </w:r>
    </w:p>
    <w:p>
      <w:pPr>
        <w:pStyle w:val="Compact"/>
        <w:numPr>
          <w:ilvl w:val="0"/>
          <w:numId w:val="1009"/>
        </w:numPr>
      </w:pPr>
      <w:r>
        <w:t xml:space="preserve">Control groups show lower rates (around 7 percent) than intervention groups (8-10 percent).</w:t>
      </w:r>
    </w:p>
    <w:p>
      <w:pPr>
        <w:pStyle w:val="Compact"/>
        <w:numPr>
          <w:ilvl w:val="0"/>
          <w:numId w:val="1009"/>
        </w:numPr>
      </w:pPr>
      <w:r>
        <w:t xml:space="preserve">This type of IPV contains question on:</w:t>
      </w:r>
    </w:p>
    <w:p>
      <w:pPr>
        <w:pStyle w:val="Compact"/>
        <w:numPr>
          <w:ilvl w:val="1"/>
          <w:numId w:val="1010"/>
        </w:numPr>
      </w:pPr>
      <w:r>
        <w:t xml:space="preserve">ipv8: Humiliating the wife in front of others,</w:t>
      </w:r>
    </w:p>
    <w:p>
      <w:pPr>
        <w:pStyle w:val="Compact"/>
        <w:numPr>
          <w:ilvl w:val="1"/>
          <w:numId w:val="1010"/>
        </w:numPr>
      </w:pPr>
      <w:r>
        <w:t xml:space="preserve">ipv9: Threatening to hurt the wife or someone close to her,</w:t>
      </w:r>
    </w:p>
    <w:p>
      <w:pPr>
        <w:pStyle w:val="Compact"/>
        <w:numPr>
          <w:ilvl w:val="1"/>
          <w:numId w:val="1010"/>
        </w:numPr>
      </w:pPr>
      <w:r>
        <w:t xml:space="preserve">ipv10: Insulting or belittling the wife,</w:t>
      </w:r>
    </w:p>
    <w:p>
      <w:pPr>
        <w:pStyle w:val="Compact"/>
        <w:numPr>
          <w:ilvl w:val="1"/>
          <w:numId w:val="1010"/>
        </w:numPr>
      </w:pPr>
      <w:r>
        <w:t xml:space="preserve">ipv11: Deliberately scaring or intimidating the wife (through looks, shouting, breaking things).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preserve">Tekavoul</w:t>
            </w:r>
          </w:p>
        </w:tc>
        <w:tc>
          <w:tcPr>
            <w:tcBorders>
              <w:top w:val="single" w:sz="16" w:space="0" w:color="D3D3D3"/>
              <w:bottom w:val="single" w:sz="16" w:space="0" w:color="D3D3D3"/>
            </w:tcBorders>
            <w:gridSpan w:val="5"/>
          </w:tcPr>
          <w:p>
            <w:pPr>
              <w:spacing w:before="0" w:after="60"/>
              <w:keepNext/>
              <w:jc w:val="center"/>
            </w:pPr>
            <w:r>
              <w:rPr>
                <w:rFonts w:ascii="Calibri" w:hAnsi="Calibri"/>
                <w:sz w:val="20"/>
              </w:rPr>
              <w:t xml:space="preserve">Productive inclusion</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preserve">Productive inclusion (Pool)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Emotional Violence</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627</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230</w:t>
            </w:r>
          </w:p>
        </w:tc>
        <w:tc>
          <w:tcPr>
            <w:tcBorders>
              <w:bottom w:val="single" w:sz="16" w:space="0" w:color="D3D3D3"/>
            </w:tcBorders>
          </w:tcPr>
          <w:p>
            <w:pPr>
              <w:spacing w:before="0" w:after="60"/>
              <w:keepNext/>
              <w:jc w:val="center"/>
            </w:pPr>
            <w:r>
              <w:rPr>
                <w:b w:val="true"/>
                <w:rFonts w:ascii="Calibri" w:hAnsi="Calibri"/>
                <w:sz w:val="20"/>
              </w:rPr>
              <w:t xml:space="preserve">Cash Assignment</w:t>
            </w:r>
            <w:r>
              <w:rPr>
                <w:rFonts w:ascii="Calibri" w:hAnsi="Calibri"/>
                <w:sz w:val="20"/>
              </w:rPr>
              <w:t xml:space="preserve"/>
            </w:r>
            <w:r>
              <w:rPr>
                <w:rFonts w:ascii="Calibri" w:hAnsi="Calibri"/>
                <w:sz w:val="20"/>
              </w:rPr>
              <w:t xml:space="preserve"> </w:t>
            </w:r>
            <w:r>
              <w:rPr>
                <w:rFonts w:ascii="Calibri" w:hAnsi="Calibri"/>
                <w:sz w:val="20"/>
              </w:rPr>
              <w:t xml:space="preserve">N = 397</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1,064</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382</w:t>
            </w:r>
          </w:p>
        </w:tc>
        <w:tc>
          <w:tcPr>
            <w:tcBorders>
              <w:bottom w:val="single" w:sz="16" w:space="0" w:color="D3D3D3"/>
            </w:tcBorders>
          </w:tcPr>
          <w:p>
            <w:pPr>
              <w:spacing w:before="0" w:after="60"/>
              <w:keepNext/>
              <w:jc w:val="center"/>
            </w:pPr>
            <w:r>
              <w:rPr>
                <w:b w:val="true"/>
                <w:rFonts w:ascii="Calibri" w:hAnsi="Calibri"/>
                <w:sz w:val="20"/>
              </w:rPr>
              <w:t xml:space="preserve">Capital</w:t>
            </w:r>
            <w:r>
              <w:rPr>
                <w:rFonts w:ascii="Calibri" w:hAnsi="Calibri"/>
                <w:sz w:val="20"/>
              </w:rPr>
              <w:t xml:space="preserve"/>
            </w:r>
            <w:r>
              <w:rPr>
                <w:rFonts w:ascii="Calibri" w:hAnsi="Calibri"/>
                <w:sz w:val="20"/>
              </w:rPr>
              <w:t xml:space="preserve"> </w:t>
            </w:r>
            <w:r>
              <w:rPr>
                <w:rFonts w:ascii="Calibri" w:hAnsi="Calibri"/>
                <w:sz w:val="20"/>
              </w:rPr>
              <w:t xml:space="preserve">N = 232</w:t>
            </w:r>
          </w:p>
        </w:tc>
        <w:tc>
          <w:tcPr>
            <w:tcBorders>
              <w:bottom w:val="single" w:sz="16" w:space="0" w:color="D3D3D3"/>
            </w:tcBorders>
          </w:tcPr>
          <w:p>
            <w:pPr>
              <w:spacing w:before="0" w:after="60"/>
              <w:keepNext/>
              <w:jc w:val="center"/>
            </w:pPr>
            <w:r>
              <w:rPr>
                <w:b w:val="true"/>
                <w:rFonts w:ascii="Calibri" w:hAnsi="Calibri"/>
                <w:sz w:val="20"/>
              </w:rPr>
              <w:t xml:space="preserve">Psychosocial</w:t>
            </w:r>
            <w:r>
              <w:rPr>
                <w:rFonts w:ascii="Calibri" w:hAnsi="Calibri"/>
                <w:sz w:val="20"/>
              </w:rPr>
              <w:t xml:space="preserve"/>
            </w:r>
            <w:r>
              <w:rPr>
                <w:rFonts w:ascii="Calibri" w:hAnsi="Calibri"/>
                <w:sz w:val="20"/>
              </w:rPr>
              <w:t xml:space="preserve"> </w:t>
            </w:r>
            <w:r>
              <w:rPr>
                <w:rFonts w:ascii="Calibri" w:hAnsi="Calibri"/>
                <w:sz w:val="20"/>
              </w:rPr>
              <w:t xml:space="preserve">N = 251</w:t>
            </w:r>
          </w:p>
        </w:tc>
        <w:tc>
          <w:tcPr>
            <w:tcBorders>
              <w:bottom w:val="single" w:sz="16" w:space="0" w:color="D3D3D3"/>
            </w:tcBorders>
          </w:tcPr>
          <w:p>
            <w:pPr>
              <w:spacing w:before="0" w:after="60"/>
              <w:keepNext/>
              <w:jc w:val="center"/>
            </w:pPr>
            <w:r>
              <w:rPr>
                <w:b w:val="true"/>
                <w:rFonts w:ascii="Calibri" w:hAnsi="Calibri"/>
                <w:sz w:val="20"/>
              </w:rPr>
              <w:t xml:space="preserve">Full</w:t>
            </w:r>
            <w:r>
              <w:rPr>
                <w:rFonts w:ascii="Calibri" w:hAnsi="Calibri"/>
                <w:sz w:val="20"/>
              </w:rPr>
              <w:t xml:space="preserve"/>
            </w:r>
            <w:r>
              <w:rPr>
                <w:rFonts w:ascii="Calibri" w:hAnsi="Calibri"/>
                <w:sz w:val="20"/>
              </w:rPr>
              <w:t xml:space="preserve"> </w:t>
            </w:r>
            <w:r>
              <w:rPr>
                <w:rFonts w:ascii="Calibri" w:hAnsi="Calibri"/>
                <w:sz w:val="20"/>
              </w:rPr>
              <w:t xml:space="preserve">N = 199</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1,064</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382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Pool</w:t>
            </w:r>
            <w:r>
              <w:rPr>
                <w:rFonts w:ascii="Calibri" w:hAnsi="Calibri"/>
                <w:sz w:val="20"/>
              </w:rPr>
              <w:t xml:space="preserve"/>
            </w:r>
            <w:r>
              <w:rPr>
                <w:rFonts w:ascii="Calibri" w:hAnsi="Calibri"/>
                <w:sz w:val="20"/>
              </w:rPr>
              <w:t xml:space="preserve"> </w:t>
            </w:r>
            <w:r>
              <w:rPr>
                <w:rFonts w:ascii="Calibri" w:hAnsi="Calibri"/>
                <w:sz w:val="20"/>
              </w:rPr>
              <w:t xml:space="preserve">N = 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Binary for emo. IPV in the last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 IPV intensity index z-score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 IPV severity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 IPV severity index z-score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(1.01)</w:t>
            </w:r>
          </w:p>
        </w:tc>
      </w:tr>
    </w:tbl>
    <w:p>
      <w:r>
        <w:br w:type="page"/>
      </w:r>
    </w:p>
    <w:bookmarkEnd w:id="26"/>
    <w:bookmarkStart w:id="27" w:name="physical-violence"/>
    <w:p>
      <w:pPr>
        <w:pStyle w:val="Titre3"/>
      </w:pPr>
      <w:r>
        <w:t xml:space="preserve">Physical Violence</w:t>
      </w:r>
    </w:p>
    <w:p>
      <w:pPr>
        <w:pStyle w:val="Compact"/>
        <w:numPr>
          <w:ilvl w:val="0"/>
          <w:numId w:val="1011"/>
        </w:numPr>
      </w:pPr>
      <w:r>
        <w:t xml:space="preserve">The overall prevalence of physical violence ranges from about 0.99 percent in the Tekavoul program to 1.55 percent in the Productive Inclusion program.</w:t>
      </w:r>
    </w:p>
    <w:p>
      <w:pPr>
        <w:pStyle w:val="Compact"/>
        <w:numPr>
          <w:ilvl w:val="0"/>
          <w:numId w:val="1011"/>
        </w:numPr>
      </w:pPr>
      <w:r>
        <w:t xml:space="preserve">There appears to be slight variation between control groups (0.89 percent in Tekavoul control, 1.09 percent in productive inclusion control) and the beneficiaries of the two programs (1.05 percent in the beneficiaries of the cash assignment in the Tekavoul program, 1.80 percent for the beneficiary of the productive inclusion).</w:t>
      </w:r>
    </w:p>
    <w:p>
      <w:pPr>
        <w:pStyle w:val="Compact"/>
        <w:numPr>
          <w:ilvl w:val="0"/>
          <w:numId w:val="1011"/>
        </w:numPr>
      </w:pPr>
      <w:r>
        <w:t xml:space="preserve">Within the productive inclusion program, the psychosocial and the full intervention groups show the highest rates (around 2 percent).</w:t>
      </w:r>
    </w:p>
    <w:p>
      <w:pPr>
        <w:pStyle w:val="Compact"/>
        <w:numPr>
          <w:ilvl w:val="0"/>
          <w:numId w:val="1011"/>
        </w:numPr>
      </w:pPr>
      <w:r>
        <w:t xml:space="preserve">The physical IPV intensity and severity indices are very low across all groups, with minimal variation.</w:t>
      </w:r>
    </w:p>
    <w:p>
      <w:pPr>
        <w:pStyle w:val="Compact"/>
        <w:numPr>
          <w:ilvl w:val="0"/>
          <w:numId w:val="1011"/>
        </w:numPr>
      </w:pPr>
      <w:r>
        <w:t xml:space="preserve">This type of IPV contains questions on :</w:t>
      </w:r>
    </w:p>
    <w:p>
      <w:pPr>
        <w:pStyle w:val="Compact"/>
        <w:numPr>
          <w:ilvl w:val="1"/>
          <w:numId w:val="1012"/>
        </w:numPr>
      </w:pPr>
      <w:r>
        <w:t xml:space="preserve">ipv12: slapping or throwing objects that could cause injury,</w:t>
      </w:r>
    </w:p>
    <w:p>
      <w:pPr>
        <w:pStyle w:val="Compact"/>
        <w:numPr>
          <w:ilvl w:val="1"/>
          <w:numId w:val="1012"/>
        </w:numPr>
      </w:pPr>
      <w:r>
        <w:t xml:space="preserve">ipv13: Pushing, shoving, or pulling hair,</w:t>
      </w:r>
    </w:p>
    <w:p>
      <w:pPr>
        <w:pStyle w:val="Compact"/>
        <w:numPr>
          <w:ilvl w:val="1"/>
          <w:numId w:val="1012"/>
        </w:numPr>
      </w:pPr>
      <w:r>
        <w:t xml:space="preserve">ipv14: Punching or hitting with objects that could cause injury,</w:t>
      </w:r>
    </w:p>
    <w:p>
      <w:pPr>
        <w:pStyle w:val="Compact"/>
        <w:numPr>
          <w:ilvl w:val="1"/>
          <w:numId w:val="1012"/>
        </w:numPr>
      </w:pPr>
      <w:r>
        <w:t xml:space="preserve">ipv15: Kicking, dragging, or beating,</w:t>
      </w:r>
    </w:p>
    <w:p>
      <w:pPr>
        <w:pStyle w:val="Compact"/>
        <w:numPr>
          <w:ilvl w:val="1"/>
          <w:numId w:val="1012"/>
        </w:numPr>
      </w:pPr>
      <w:r>
        <w:t xml:space="preserve">ipv16: Attempting to strangle or burn intentionally (not accidentally),</w:t>
      </w:r>
    </w:p>
    <w:p>
      <w:pPr>
        <w:pStyle w:val="Compact"/>
        <w:numPr>
          <w:ilvl w:val="1"/>
          <w:numId w:val="1012"/>
        </w:numPr>
      </w:pPr>
      <w:r>
        <w:t xml:space="preserve">ipv17: Threatening or attacking with weapons (knife, gun, etc.).</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preserve">Tekavoul</w:t>
            </w:r>
          </w:p>
        </w:tc>
        <w:tc>
          <w:tcPr>
            <w:tcBorders>
              <w:top w:val="single" w:sz="16" w:space="0" w:color="D3D3D3"/>
              <w:bottom w:val="single" w:sz="16" w:space="0" w:color="D3D3D3"/>
            </w:tcBorders>
            <w:gridSpan w:val="5"/>
          </w:tcPr>
          <w:p>
            <w:pPr>
              <w:spacing w:before="0" w:after="60"/>
              <w:keepNext/>
              <w:jc w:val="center"/>
            </w:pPr>
            <w:r>
              <w:rPr>
                <w:rFonts w:ascii="Calibri" w:hAnsi="Calibri"/>
                <w:sz w:val="20"/>
              </w:rPr>
              <w:t xml:space="preserve">Productive inclusion</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preserve">Productive inclusion (Pool)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Physical Violence</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627</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230</w:t>
            </w:r>
          </w:p>
        </w:tc>
        <w:tc>
          <w:tcPr>
            <w:tcBorders>
              <w:bottom w:val="single" w:sz="16" w:space="0" w:color="D3D3D3"/>
            </w:tcBorders>
          </w:tcPr>
          <w:p>
            <w:pPr>
              <w:spacing w:before="0" w:after="60"/>
              <w:keepNext/>
              <w:jc w:val="center"/>
            </w:pPr>
            <w:r>
              <w:rPr>
                <w:b w:val="true"/>
                <w:rFonts w:ascii="Calibri" w:hAnsi="Calibri"/>
                <w:sz w:val="20"/>
              </w:rPr>
              <w:t xml:space="preserve">Cash Assignment</w:t>
            </w:r>
            <w:r>
              <w:rPr>
                <w:rFonts w:ascii="Calibri" w:hAnsi="Calibri"/>
                <w:sz w:val="20"/>
              </w:rPr>
              <w:t xml:space="preserve"/>
            </w:r>
            <w:r>
              <w:rPr>
                <w:rFonts w:ascii="Calibri" w:hAnsi="Calibri"/>
                <w:sz w:val="20"/>
              </w:rPr>
              <w:t xml:space="preserve"> </w:t>
            </w:r>
            <w:r>
              <w:rPr>
                <w:rFonts w:ascii="Calibri" w:hAnsi="Calibri"/>
                <w:sz w:val="20"/>
              </w:rPr>
              <w:t xml:space="preserve">N = 397</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1,064</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382</w:t>
            </w:r>
          </w:p>
        </w:tc>
        <w:tc>
          <w:tcPr>
            <w:tcBorders>
              <w:bottom w:val="single" w:sz="16" w:space="0" w:color="D3D3D3"/>
            </w:tcBorders>
          </w:tcPr>
          <w:p>
            <w:pPr>
              <w:spacing w:before="0" w:after="60"/>
              <w:keepNext/>
              <w:jc w:val="center"/>
            </w:pPr>
            <w:r>
              <w:rPr>
                <w:b w:val="true"/>
                <w:rFonts w:ascii="Calibri" w:hAnsi="Calibri"/>
                <w:sz w:val="20"/>
              </w:rPr>
              <w:t xml:space="preserve">Capital</w:t>
            </w:r>
            <w:r>
              <w:rPr>
                <w:rFonts w:ascii="Calibri" w:hAnsi="Calibri"/>
                <w:sz w:val="20"/>
              </w:rPr>
              <w:t xml:space="preserve"/>
            </w:r>
            <w:r>
              <w:rPr>
                <w:rFonts w:ascii="Calibri" w:hAnsi="Calibri"/>
                <w:sz w:val="20"/>
              </w:rPr>
              <w:t xml:space="preserve"> </w:t>
            </w:r>
            <w:r>
              <w:rPr>
                <w:rFonts w:ascii="Calibri" w:hAnsi="Calibri"/>
                <w:sz w:val="20"/>
              </w:rPr>
              <w:t xml:space="preserve">N = 232</w:t>
            </w:r>
          </w:p>
        </w:tc>
        <w:tc>
          <w:tcPr>
            <w:tcBorders>
              <w:bottom w:val="single" w:sz="16" w:space="0" w:color="D3D3D3"/>
            </w:tcBorders>
          </w:tcPr>
          <w:p>
            <w:pPr>
              <w:spacing w:before="0" w:after="60"/>
              <w:keepNext/>
              <w:jc w:val="center"/>
            </w:pPr>
            <w:r>
              <w:rPr>
                <w:b w:val="true"/>
                <w:rFonts w:ascii="Calibri" w:hAnsi="Calibri"/>
                <w:sz w:val="20"/>
              </w:rPr>
              <w:t xml:space="preserve">Psychosocial</w:t>
            </w:r>
            <w:r>
              <w:rPr>
                <w:rFonts w:ascii="Calibri" w:hAnsi="Calibri"/>
                <w:sz w:val="20"/>
              </w:rPr>
              <w:t xml:space="preserve"/>
            </w:r>
            <w:r>
              <w:rPr>
                <w:rFonts w:ascii="Calibri" w:hAnsi="Calibri"/>
                <w:sz w:val="20"/>
              </w:rPr>
              <w:t xml:space="preserve"> </w:t>
            </w:r>
            <w:r>
              <w:rPr>
                <w:rFonts w:ascii="Calibri" w:hAnsi="Calibri"/>
                <w:sz w:val="20"/>
              </w:rPr>
              <w:t xml:space="preserve">N = 251</w:t>
            </w:r>
          </w:p>
        </w:tc>
        <w:tc>
          <w:tcPr>
            <w:tcBorders>
              <w:bottom w:val="single" w:sz="16" w:space="0" w:color="D3D3D3"/>
            </w:tcBorders>
          </w:tcPr>
          <w:p>
            <w:pPr>
              <w:spacing w:before="0" w:after="60"/>
              <w:keepNext/>
              <w:jc w:val="center"/>
            </w:pPr>
            <w:r>
              <w:rPr>
                <w:b w:val="true"/>
                <w:rFonts w:ascii="Calibri" w:hAnsi="Calibri"/>
                <w:sz w:val="20"/>
              </w:rPr>
              <w:t xml:space="preserve">Full</w:t>
            </w:r>
            <w:r>
              <w:rPr>
                <w:rFonts w:ascii="Calibri" w:hAnsi="Calibri"/>
                <w:sz w:val="20"/>
              </w:rPr>
              <w:t xml:space="preserve"/>
            </w:r>
            <w:r>
              <w:rPr>
                <w:rFonts w:ascii="Calibri" w:hAnsi="Calibri"/>
                <w:sz w:val="20"/>
              </w:rPr>
              <w:t xml:space="preserve"> </w:t>
            </w:r>
            <w:r>
              <w:rPr>
                <w:rFonts w:ascii="Calibri" w:hAnsi="Calibri"/>
                <w:sz w:val="20"/>
              </w:rPr>
              <w:t xml:space="preserve">N = 199</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1,064</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382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Pool</w:t>
            </w:r>
            <w:r>
              <w:rPr>
                <w:rFonts w:ascii="Calibri" w:hAnsi="Calibri"/>
                <w:sz w:val="20"/>
              </w:rPr>
              <w:t xml:space="preserve"/>
            </w:r>
            <w:r>
              <w:rPr>
                <w:rFonts w:ascii="Calibri" w:hAnsi="Calibri"/>
                <w:sz w:val="20"/>
              </w:rPr>
              <w:t xml:space="preserve"> </w:t>
            </w:r>
            <w:r>
              <w:rPr>
                <w:rFonts w:ascii="Calibri" w:hAnsi="Calibri"/>
                <w:sz w:val="20"/>
              </w:rPr>
              <w:t xml:space="preserve">N = 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Binary for phy. IPV in the last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Phy. IPV intensity index z-score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Phy. IPV severity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Phy. IPV severity z-score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(0.95)</w:t>
            </w:r>
          </w:p>
        </w:tc>
      </w:tr>
    </w:tbl>
    <w:p>
      <w:r>
        <w:br w:type="page"/>
      </w:r>
    </w:p>
    <w:bookmarkEnd w:id="27"/>
    <w:bookmarkStart w:id="28" w:name="sexual-violence"/>
    <w:p>
      <w:pPr>
        <w:pStyle w:val="Titre3"/>
      </w:pPr>
      <w:r>
        <w:t xml:space="preserve">Sexual Violence</w:t>
      </w:r>
    </w:p>
    <w:p>
      <w:pPr>
        <w:pStyle w:val="Compact"/>
        <w:numPr>
          <w:ilvl w:val="0"/>
          <w:numId w:val="1013"/>
        </w:numPr>
      </w:pPr>
      <w:r>
        <w:t xml:space="preserve">Sexual IPV prevalence ranges from 4.46 percent in Tekavoul to 7.47 percent in Productive Inclusion. There’s a more noticeable difference between control and intervention groups.</w:t>
      </w:r>
    </w:p>
    <w:p>
      <w:pPr>
        <w:pStyle w:val="Compact"/>
        <w:numPr>
          <w:ilvl w:val="0"/>
          <w:numId w:val="1013"/>
        </w:numPr>
      </w:pPr>
      <w:r>
        <w:t xml:space="preserve">The Psychosocial package recipient group shows the highest rate at 11.02 percent.</w:t>
      </w:r>
    </w:p>
    <w:p>
      <w:pPr>
        <w:pStyle w:val="Compact"/>
        <w:numPr>
          <w:ilvl w:val="0"/>
          <w:numId w:val="1013"/>
        </w:numPr>
      </w:pPr>
      <w:r>
        <w:t xml:space="preserve">The control groups consistently show lower rates than intervention groups.</w:t>
      </w:r>
    </w:p>
    <w:p>
      <w:pPr>
        <w:pStyle w:val="Compact"/>
        <w:numPr>
          <w:ilvl w:val="0"/>
          <w:numId w:val="1013"/>
        </w:numPr>
      </w:pPr>
      <w:r>
        <w:t xml:space="preserve">The severity indices for sexual violence are overall higher than those for physical violence.</w:t>
      </w:r>
    </w:p>
    <w:p>
      <w:pPr>
        <w:pStyle w:val="Compact"/>
        <w:numPr>
          <w:ilvl w:val="0"/>
          <w:numId w:val="1013"/>
        </w:numPr>
      </w:pPr>
      <w:r>
        <w:t xml:space="preserve">This type of IPV contains questions on:</w:t>
      </w:r>
    </w:p>
    <w:p>
      <w:pPr>
        <w:pStyle w:val="Compact"/>
        <w:numPr>
          <w:ilvl w:val="1"/>
          <w:numId w:val="1014"/>
        </w:numPr>
      </w:pPr>
      <w:r>
        <w:t xml:space="preserve">ipv18: physically forcing sexual intercourse against the wife’s will</w:t>
      </w:r>
    </w:p>
    <w:p>
      <w:pPr>
        <w:pStyle w:val="Compact"/>
        <w:numPr>
          <w:ilvl w:val="1"/>
          <w:numId w:val="1014"/>
        </w:numPr>
      </w:pPr>
      <w:r>
        <w:t xml:space="preserve">ipv19: having unwanted sexual intercourse due to fear of consequences</w:t>
      </w:r>
    </w:p>
    <w:p>
      <w:pPr>
        <w:pStyle w:val="Compact"/>
        <w:numPr>
          <w:ilvl w:val="1"/>
          <w:numId w:val="1014"/>
        </w:numPr>
      </w:pPr>
      <w:r>
        <w:t xml:space="preserve">ipv20: forcing degrading or humiliating sexual acts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preserve">Tekavoul</w:t>
            </w:r>
          </w:p>
        </w:tc>
        <w:tc>
          <w:tcPr>
            <w:tcBorders>
              <w:top w:val="single" w:sz="16" w:space="0" w:color="D3D3D3"/>
              <w:bottom w:val="single" w:sz="16" w:space="0" w:color="D3D3D3"/>
            </w:tcBorders>
            <w:gridSpan w:val="5"/>
          </w:tcPr>
          <w:p>
            <w:pPr>
              <w:spacing w:before="0" w:after="60"/>
              <w:keepNext/>
              <w:jc w:val="center"/>
            </w:pPr>
            <w:r>
              <w:rPr>
                <w:rFonts w:ascii="Calibri" w:hAnsi="Calibri"/>
                <w:sz w:val="20"/>
              </w:rPr>
              <w:t xml:space="preserve">Productive inclusion</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preserve">Productive inclusion (Pool)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Sexual violence</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627</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230</w:t>
            </w:r>
          </w:p>
        </w:tc>
        <w:tc>
          <w:tcPr>
            <w:tcBorders>
              <w:bottom w:val="single" w:sz="16" w:space="0" w:color="D3D3D3"/>
            </w:tcBorders>
          </w:tcPr>
          <w:p>
            <w:pPr>
              <w:spacing w:before="0" w:after="60"/>
              <w:keepNext/>
              <w:jc w:val="center"/>
            </w:pPr>
            <w:r>
              <w:rPr>
                <w:b w:val="true"/>
                <w:rFonts w:ascii="Calibri" w:hAnsi="Calibri"/>
                <w:sz w:val="20"/>
              </w:rPr>
              <w:t xml:space="preserve">Cash Assignment</w:t>
            </w:r>
            <w:r>
              <w:rPr>
                <w:rFonts w:ascii="Calibri" w:hAnsi="Calibri"/>
                <w:sz w:val="20"/>
              </w:rPr>
              <w:t xml:space="preserve"/>
            </w:r>
            <w:r>
              <w:rPr>
                <w:rFonts w:ascii="Calibri" w:hAnsi="Calibri"/>
                <w:sz w:val="20"/>
              </w:rPr>
              <w:t xml:space="preserve"> </w:t>
            </w:r>
            <w:r>
              <w:rPr>
                <w:rFonts w:ascii="Calibri" w:hAnsi="Calibri"/>
                <w:sz w:val="20"/>
              </w:rPr>
              <w:t xml:space="preserve">N = 397</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1,064</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382</w:t>
            </w:r>
          </w:p>
        </w:tc>
        <w:tc>
          <w:tcPr>
            <w:tcBorders>
              <w:bottom w:val="single" w:sz="16" w:space="0" w:color="D3D3D3"/>
            </w:tcBorders>
          </w:tcPr>
          <w:p>
            <w:pPr>
              <w:spacing w:before="0" w:after="60"/>
              <w:keepNext/>
              <w:jc w:val="center"/>
            </w:pPr>
            <w:r>
              <w:rPr>
                <w:b w:val="true"/>
                <w:rFonts w:ascii="Calibri" w:hAnsi="Calibri"/>
                <w:sz w:val="20"/>
              </w:rPr>
              <w:t xml:space="preserve">Capital</w:t>
            </w:r>
            <w:r>
              <w:rPr>
                <w:rFonts w:ascii="Calibri" w:hAnsi="Calibri"/>
                <w:sz w:val="20"/>
              </w:rPr>
              <w:t xml:space="preserve"/>
            </w:r>
            <w:r>
              <w:rPr>
                <w:rFonts w:ascii="Calibri" w:hAnsi="Calibri"/>
                <w:sz w:val="20"/>
              </w:rPr>
              <w:t xml:space="preserve"> </w:t>
            </w:r>
            <w:r>
              <w:rPr>
                <w:rFonts w:ascii="Calibri" w:hAnsi="Calibri"/>
                <w:sz w:val="20"/>
              </w:rPr>
              <w:t xml:space="preserve">N = 232</w:t>
            </w:r>
          </w:p>
        </w:tc>
        <w:tc>
          <w:tcPr>
            <w:tcBorders>
              <w:bottom w:val="single" w:sz="16" w:space="0" w:color="D3D3D3"/>
            </w:tcBorders>
          </w:tcPr>
          <w:p>
            <w:pPr>
              <w:spacing w:before="0" w:after="60"/>
              <w:keepNext/>
              <w:jc w:val="center"/>
            </w:pPr>
            <w:r>
              <w:rPr>
                <w:b w:val="true"/>
                <w:rFonts w:ascii="Calibri" w:hAnsi="Calibri"/>
                <w:sz w:val="20"/>
              </w:rPr>
              <w:t xml:space="preserve">Psychosocial</w:t>
            </w:r>
            <w:r>
              <w:rPr>
                <w:rFonts w:ascii="Calibri" w:hAnsi="Calibri"/>
                <w:sz w:val="20"/>
              </w:rPr>
              <w:t xml:space="preserve"/>
            </w:r>
            <w:r>
              <w:rPr>
                <w:rFonts w:ascii="Calibri" w:hAnsi="Calibri"/>
                <w:sz w:val="20"/>
              </w:rPr>
              <w:t xml:space="preserve"> </w:t>
            </w:r>
            <w:r>
              <w:rPr>
                <w:rFonts w:ascii="Calibri" w:hAnsi="Calibri"/>
                <w:sz w:val="20"/>
              </w:rPr>
              <w:t xml:space="preserve">N = 251</w:t>
            </w:r>
          </w:p>
        </w:tc>
        <w:tc>
          <w:tcPr>
            <w:tcBorders>
              <w:bottom w:val="single" w:sz="16" w:space="0" w:color="D3D3D3"/>
            </w:tcBorders>
          </w:tcPr>
          <w:p>
            <w:pPr>
              <w:spacing w:before="0" w:after="60"/>
              <w:keepNext/>
              <w:jc w:val="center"/>
            </w:pPr>
            <w:r>
              <w:rPr>
                <w:b w:val="true"/>
                <w:rFonts w:ascii="Calibri" w:hAnsi="Calibri"/>
                <w:sz w:val="20"/>
              </w:rPr>
              <w:t xml:space="preserve">Full</w:t>
            </w:r>
            <w:r>
              <w:rPr>
                <w:rFonts w:ascii="Calibri" w:hAnsi="Calibri"/>
                <w:sz w:val="20"/>
              </w:rPr>
              <w:t xml:space="preserve"/>
            </w:r>
            <w:r>
              <w:rPr>
                <w:rFonts w:ascii="Calibri" w:hAnsi="Calibri"/>
                <w:sz w:val="20"/>
              </w:rPr>
              <w:t xml:space="preserve"> </w:t>
            </w:r>
            <w:r>
              <w:rPr>
                <w:rFonts w:ascii="Calibri" w:hAnsi="Calibri"/>
                <w:sz w:val="20"/>
              </w:rPr>
              <w:t xml:space="preserve">N = 199</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1,064</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382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Pool</w:t>
            </w:r>
            <w:r>
              <w:rPr>
                <w:rFonts w:ascii="Calibri" w:hAnsi="Calibri"/>
                <w:sz w:val="20"/>
              </w:rPr>
              <w:t xml:space="preserve"/>
            </w:r>
            <w:r>
              <w:rPr>
                <w:rFonts w:ascii="Calibri" w:hAnsi="Calibri"/>
                <w:sz w:val="20"/>
              </w:rPr>
              <w:t xml:space="preserve"> </w:t>
            </w:r>
            <w:r>
              <w:rPr>
                <w:rFonts w:ascii="Calibri" w:hAnsi="Calibri"/>
                <w:sz w:val="20"/>
              </w:rPr>
              <w:t xml:space="preserve">N = 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Binary for sex. IPV in the last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IPV intensity index z-score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IPV severity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IPV severity Z-score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bl>
    <w:p>
      <w:r>
        <w:br w:type="page"/>
      </w:r>
    </w:p>
    <w:bookmarkEnd w:id="28"/>
    <w:bookmarkStart w:id="29" w:name="economic-violence"/>
    <w:p>
      <w:pPr>
        <w:pStyle w:val="Titre3"/>
      </w:pPr>
      <w:r>
        <w:t xml:space="preserve">Economic Violence</w:t>
      </w:r>
    </w:p>
    <w:p>
      <w:pPr>
        <w:pStyle w:val="Compact"/>
        <w:numPr>
          <w:ilvl w:val="0"/>
          <w:numId w:val="1015"/>
        </w:numPr>
      </w:pPr>
      <w:r>
        <w:t xml:space="preserve">Economic IPV rates fall between those of physical and sexual violence, with overall prevalence of 4.45 percent in Tekavoul and 6.73 percent in the Productive Inclusion program.</w:t>
      </w:r>
    </w:p>
    <w:p>
      <w:pPr>
        <w:pStyle w:val="Compact"/>
        <w:numPr>
          <w:ilvl w:val="0"/>
          <w:numId w:val="1015"/>
        </w:numPr>
      </w:pPr>
      <w:r>
        <w:t xml:space="preserve">Similar to the previous tables, intervention groups generally show higher reported rates compared to control groups:</w:t>
      </w:r>
    </w:p>
    <w:p>
      <w:pPr>
        <w:pStyle w:val="Compact"/>
        <w:numPr>
          <w:ilvl w:val="1"/>
          <w:numId w:val="1016"/>
        </w:numPr>
      </w:pPr>
      <w:r>
        <w:t xml:space="preserve">In Tekavoul: control shows 3.17 percent while Cash Assignment shows 5.18 percent,</w:t>
      </w:r>
    </w:p>
    <w:p>
      <w:pPr>
        <w:pStyle w:val="Compact"/>
        <w:numPr>
          <w:ilvl w:val="1"/>
          <w:numId w:val="1016"/>
        </w:numPr>
      </w:pPr>
      <w:r>
        <w:t xml:space="preserve">In productive inclusion: control shows 5.38 percent while intervention arms range from 5.37 percent to 8.76 percent.</w:t>
      </w:r>
    </w:p>
    <w:p>
      <w:pPr>
        <w:pStyle w:val="Compact"/>
        <w:numPr>
          <w:ilvl w:val="0"/>
          <w:numId w:val="1015"/>
        </w:numPr>
      </w:pPr>
      <w:r>
        <w:t xml:space="preserve">The Capital and Full intervention groups show the highest rates of economic IPV (8.76 percent and 8.72 percent respectively).</w:t>
      </w:r>
    </w:p>
    <w:p>
      <w:pPr>
        <w:pStyle w:val="Compact"/>
        <w:numPr>
          <w:ilvl w:val="0"/>
          <w:numId w:val="1015"/>
        </w:numPr>
      </w:pPr>
      <w:r>
        <w:t xml:space="preserve">Interestingly, the Psychosocial group, which had the highest sexual IPV rate, shows the lowest economic IPV rate among intervention groups (5.37 percent) with values similar to the recipients of the Tekavoul program (5.18 percent).</w:t>
      </w:r>
    </w:p>
    <w:p>
      <w:pPr>
        <w:pStyle w:val="Compact"/>
        <w:numPr>
          <w:ilvl w:val="0"/>
          <w:numId w:val="1015"/>
        </w:numPr>
      </w:pPr>
      <w:r>
        <w:t xml:space="preserve">This type of IPV contains questions on :</w:t>
      </w:r>
    </w:p>
    <w:p>
      <w:pPr>
        <w:pStyle w:val="Compact"/>
        <w:numPr>
          <w:ilvl w:val="1"/>
          <w:numId w:val="1017"/>
        </w:numPr>
      </w:pPr>
      <w:r>
        <w:t xml:space="preserve">ipv22: taking money earned by the wife against her will,</w:t>
      </w:r>
    </w:p>
    <w:p>
      <w:pPr>
        <w:pStyle w:val="Compact"/>
        <w:numPr>
          <w:ilvl w:val="1"/>
          <w:numId w:val="1017"/>
        </w:numPr>
      </w:pPr>
      <w:r>
        <w:t xml:space="preserve">ipv23: refusing to provide money for household necessities despite having funds available,</w:t>
      </w:r>
    </w:p>
    <w:p>
      <w:pPr>
        <w:pStyle w:val="Compact"/>
        <w:numPr>
          <w:ilvl w:val="1"/>
          <w:numId w:val="1017"/>
        </w:numPr>
      </w:pPr>
      <w:r>
        <w:t xml:space="preserve">ipv24: forcing the wife to give all or part of her earnings to his family (in-laws).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preserve">Tekavoul</w:t>
            </w:r>
          </w:p>
        </w:tc>
        <w:tc>
          <w:tcPr>
            <w:tcBorders>
              <w:top w:val="single" w:sz="16" w:space="0" w:color="D3D3D3"/>
              <w:bottom w:val="single" w:sz="16" w:space="0" w:color="D3D3D3"/>
            </w:tcBorders>
            <w:gridSpan w:val="5"/>
          </w:tcPr>
          <w:p>
            <w:pPr>
              <w:spacing w:before="0" w:after="60"/>
              <w:keepNext/>
              <w:jc w:val="center"/>
            </w:pPr>
            <w:r>
              <w:rPr>
                <w:rFonts w:ascii="Calibri" w:hAnsi="Calibri"/>
                <w:sz w:val="20"/>
              </w:rPr>
              <w:t xml:space="preserve">Productive inclusion</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preserve">Productive inclusion (Pool)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Economic violence</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627</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230</w:t>
            </w:r>
          </w:p>
        </w:tc>
        <w:tc>
          <w:tcPr>
            <w:tcBorders>
              <w:bottom w:val="single" w:sz="16" w:space="0" w:color="D3D3D3"/>
            </w:tcBorders>
          </w:tcPr>
          <w:p>
            <w:pPr>
              <w:spacing w:before="0" w:after="60"/>
              <w:keepNext/>
              <w:jc w:val="center"/>
            </w:pPr>
            <w:r>
              <w:rPr>
                <w:b w:val="true"/>
                <w:rFonts w:ascii="Calibri" w:hAnsi="Calibri"/>
                <w:sz w:val="20"/>
              </w:rPr>
              <w:t xml:space="preserve">Cash Assignment</w:t>
            </w:r>
            <w:r>
              <w:rPr>
                <w:rFonts w:ascii="Calibri" w:hAnsi="Calibri"/>
                <w:sz w:val="20"/>
              </w:rPr>
              <w:t xml:space="preserve"/>
            </w:r>
            <w:r>
              <w:rPr>
                <w:rFonts w:ascii="Calibri" w:hAnsi="Calibri"/>
                <w:sz w:val="20"/>
              </w:rPr>
              <w:t xml:space="preserve"> </w:t>
            </w:r>
            <w:r>
              <w:rPr>
                <w:rFonts w:ascii="Calibri" w:hAnsi="Calibri"/>
                <w:sz w:val="20"/>
              </w:rPr>
              <w:t xml:space="preserve">N = 397</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1,064</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382</w:t>
            </w:r>
          </w:p>
        </w:tc>
        <w:tc>
          <w:tcPr>
            <w:tcBorders>
              <w:bottom w:val="single" w:sz="16" w:space="0" w:color="D3D3D3"/>
            </w:tcBorders>
          </w:tcPr>
          <w:p>
            <w:pPr>
              <w:spacing w:before="0" w:after="60"/>
              <w:keepNext/>
              <w:jc w:val="center"/>
            </w:pPr>
            <w:r>
              <w:rPr>
                <w:b w:val="true"/>
                <w:rFonts w:ascii="Calibri" w:hAnsi="Calibri"/>
                <w:sz w:val="20"/>
              </w:rPr>
              <w:t xml:space="preserve">Capital</w:t>
            </w:r>
            <w:r>
              <w:rPr>
                <w:rFonts w:ascii="Calibri" w:hAnsi="Calibri"/>
                <w:sz w:val="20"/>
              </w:rPr>
              <w:t xml:space="preserve"/>
            </w:r>
            <w:r>
              <w:rPr>
                <w:rFonts w:ascii="Calibri" w:hAnsi="Calibri"/>
                <w:sz w:val="20"/>
              </w:rPr>
              <w:t xml:space="preserve"> </w:t>
            </w:r>
            <w:r>
              <w:rPr>
                <w:rFonts w:ascii="Calibri" w:hAnsi="Calibri"/>
                <w:sz w:val="20"/>
              </w:rPr>
              <w:t xml:space="preserve">N = 232</w:t>
            </w:r>
          </w:p>
        </w:tc>
        <w:tc>
          <w:tcPr>
            <w:tcBorders>
              <w:bottom w:val="single" w:sz="16" w:space="0" w:color="D3D3D3"/>
            </w:tcBorders>
          </w:tcPr>
          <w:p>
            <w:pPr>
              <w:spacing w:before="0" w:after="60"/>
              <w:keepNext/>
              <w:jc w:val="center"/>
            </w:pPr>
            <w:r>
              <w:rPr>
                <w:b w:val="true"/>
                <w:rFonts w:ascii="Calibri" w:hAnsi="Calibri"/>
                <w:sz w:val="20"/>
              </w:rPr>
              <w:t xml:space="preserve">Psychosocial</w:t>
            </w:r>
            <w:r>
              <w:rPr>
                <w:rFonts w:ascii="Calibri" w:hAnsi="Calibri"/>
                <w:sz w:val="20"/>
              </w:rPr>
              <w:t xml:space="preserve"/>
            </w:r>
            <w:r>
              <w:rPr>
                <w:rFonts w:ascii="Calibri" w:hAnsi="Calibri"/>
                <w:sz w:val="20"/>
              </w:rPr>
              <w:t xml:space="preserve"> </w:t>
            </w:r>
            <w:r>
              <w:rPr>
                <w:rFonts w:ascii="Calibri" w:hAnsi="Calibri"/>
                <w:sz w:val="20"/>
              </w:rPr>
              <w:t xml:space="preserve">N = 251</w:t>
            </w:r>
          </w:p>
        </w:tc>
        <w:tc>
          <w:tcPr>
            <w:tcBorders>
              <w:bottom w:val="single" w:sz="16" w:space="0" w:color="D3D3D3"/>
            </w:tcBorders>
          </w:tcPr>
          <w:p>
            <w:pPr>
              <w:spacing w:before="0" w:after="60"/>
              <w:keepNext/>
              <w:jc w:val="center"/>
            </w:pPr>
            <w:r>
              <w:rPr>
                <w:b w:val="true"/>
                <w:rFonts w:ascii="Calibri" w:hAnsi="Calibri"/>
                <w:sz w:val="20"/>
              </w:rPr>
              <w:t xml:space="preserve">Full</w:t>
            </w:r>
            <w:r>
              <w:rPr>
                <w:rFonts w:ascii="Calibri" w:hAnsi="Calibri"/>
                <w:sz w:val="20"/>
              </w:rPr>
              <w:t xml:space="preserve"/>
            </w:r>
            <w:r>
              <w:rPr>
                <w:rFonts w:ascii="Calibri" w:hAnsi="Calibri"/>
                <w:sz w:val="20"/>
              </w:rPr>
              <w:t xml:space="preserve"> </w:t>
            </w:r>
            <w:r>
              <w:rPr>
                <w:rFonts w:ascii="Calibri" w:hAnsi="Calibri"/>
                <w:sz w:val="20"/>
              </w:rPr>
              <w:t xml:space="preserve">N = 199</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1,064</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382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Pool</w:t>
            </w:r>
            <w:r>
              <w:rPr>
                <w:rFonts w:ascii="Calibri" w:hAnsi="Calibri"/>
                <w:sz w:val="20"/>
              </w:rPr>
              <w:t xml:space="preserve"/>
            </w:r>
            <w:r>
              <w:rPr>
                <w:rFonts w:ascii="Calibri" w:hAnsi="Calibri"/>
                <w:sz w:val="20"/>
              </w:rPr>
              <w:t xml:space="preserve"> </w:t>
            </w:r>
            <w:r>
              <w:rPr>
                <w:rFonts w:ascii="Calibri" w:hAnsi="Calibri"/>
                <w:sz w:val="20"/>
              </w:rPr>
              <w:t xml:space="preserve">N = 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Binary for eco. IPV in the last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 IPV intensity index z-score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 IPV severity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 IPV severity z-score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(1.06)</w:t>
            </w:r>
          </w:p>
        </w:tc>
      </w:tr>
    </w:tbl>
    <w:p>
      <w:r>
        <w:br w:type="page"/>
      </w:r>
    </w:p>
    <w:bookmarkEnd w:id="29"/>
    <w:bookmarkStart w:id="30" w:name="other-ipv-index-violence"/>
    <w:p>
      <w:pPr>
        <w:pStyle w:val="Titre3"/>
      </w:pPr>
      <w:r>
        <w:t xml:space="preserve">Other IPV index Violence</w:t>
      </w:r>
    </w:p>
    <w:p>
      <w:pPr>
        <w:pStyle w:val="Normal"/>
      </w:pPr>
      <w:r>
        <w:t xml:space="preserve">In this table we consider the emotional violence, the physical, sexual and economic violence.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preserve">Tekavoul</w:t>
            </w:r>
          </w:p>
        </w:tc>
        <w:tc>
          <w:tcPr>
            <w:tcBorders>
              <w:top w:val="single" w:sz="16" w:space="0" w:color="D3D3D3"/>
              <w:bottom w:val="single" w:sz="16" w:space="0" w:color="D3D3D3"/>
            </w:tcBorders>
            <w:gridSpan w:val="5"/>
          </w:tcPr>
          <w:p>
            <w:pPr>
              <w:spacing w:before="0" w:after="60"/>
              <w:keepNext/>
              <w:jc w:val="center"/>
            </w:pPr>
            <w:r>
              <w:rPr>
                <w:rFonts w:ascii="Calibri" w:hAnsi="Calibri"/>
                <w:sz w:val="20"/>
              </w:rPr>
              <w:t xml:space="preserve">Productive inclusion</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preserve">Productive inclusion (Pool)</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preserve">Other IPV index violence</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627</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230</w:t>
            </w:r>
          </w:p>
        </w:tc>
        <w:tc>
          <w:tcPr>
            <w:tcBorders>
              <w:bottom w:val="single" w:sz="16" w:space="0" w:color="D3D3D3"/>
            </w:tcBorders>
          </w:tcPr>
          <w:p>
            <w:pPr>
              <w:spacing w:before="0" w:after="60"/>
              <w:keepNext/>
              <w:jc w:val="center"/>
            </w:pPr>
            <w:r>
              <w:rPr>
                <w:b w:val="true"/>
                <w:rFonts w:ascii="Calibri" w:hAnsi="Calibri"/>
                <w:sz w:val="20"/>
              </w:rPr>
              <w:t xml:space="preserve">Cash Assignment</w:t>
            </w:r>
            <w:r>
              <w:rPr>
                <w:rFonts w:ascii="Calibri" w:hAnsi="Calibri"/>
                <w:sz w:val="20"/>
              </w:rPr>
              <w:t xml:space="preserve"/>
            </w:r>
            <w:r>
              <w:rPr>
                <w:rFonts w:ascii="Calibri" w:hAnsi="Calibri"/>
                <w:sz w:val="20"/>
              </w:rPr>
              <w:t xml:space="preserve"> </w:t>
            </w:r>
            <w:r>
              <w:rPr>
                <w:rFonts w:ascii="Calibri" w:hAnsi="Calibri"/>
                <w:sz w:val="20"/>
              </w:rPr>
              <w:t xml:space="preserve">N = 397</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1,064</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382</w:t>
            </w:r>
          </w:p>
        </w:tc>
        <w:tc>
          <w:tcPr>
            <w:tcBorders>
              <w:bottom w:val="single" w:sz="16" w:space="0" w:color="D3D3D3"/>
            </w:tcBorders>
          </w:tcPr>
          <w:p>
            <w:pPr>
              <w:spacing w:before="0" w:after="60"/>
              <w:keepNext/>
              <w:jc w:val="center"/>
            </w:pPr>
            <w:r>
              <w:rPr>
                <w:b w:val="true"/>
                <w:rFonts w:ascii="Calibri" w:hAnsi="Calibri"/>
                <w:sz w:val="20"/>
              </w:rPr>
              <w:t xml:space="preserve">Capital</w:t>
            </w:r>
            <w:r>
              <w:rPr>
                <w:rFonts w:ascii="Calibri" w:hAnsi="Calibri"/>
                <w:sz w:val="20"/>
              </w:rPr>
              <w:t xml:space="preserve"/>
            </w:r>
            <w:r>
              <w:rPr>
                <w:rFonts w:ascii="Calibri" w:hAnsi="Calibri"/>
                <w:sz w:val="20"/>
              </w:rPr>
              <w:t xml:space="preserve"> </w:t>
            </w:r>
            <w:r>
              <w:rPr>
                <w:rFonts w:ascii="Calibri" w:hAnsi="Calibri"/>
                <w:sz w:val="20"/>
              </w:rPr>
              <w:t xml:space="preserve">N = 232</w:t>
            </w:r>
          </w:p>
        </w:tc>
        <w:tc>
          <w:tcPr>
            <w:tcBorders>
              <w:bottom w:val="single" w:sz="16" w:space="0" w:color="D3D3D3"/>
            </w:tcBorders>
          </w:tcPr>
          <w:p>
            <w:pPr>
              <w:spacing w:before="0" w:after="60"/>
              <w:keepNext/>
              <w:jc w:val="center"/>
            </w:pPr>
            <w:r>
              <w:rPr>
                <w:b w:val="true"/>
                <w:rFonts w:ascii="Calibri" w:hAnsi="Calibri"/>
                <w:sz w:val="20"/>
              </w:rPr>
              <w:t xml:space="preserve">Psychosocial</w:t>
            </w:r>
            <w:r>
              <w:rPr>
                <w:rFonts w:ascii="Calibri" w:hAnsi="Calibri"/>
                <w:sz w:val="20"/>
              </w:rPr>
              <w:t xml:space="preserve"/>
            </w:r>
            <w:r>
              <w:rPr>
                <w:rFonts w:ascii="Calibri" w:hAnsi="Calibri"/>
                <w:sz w:val="20"/>
              </w:rPr>
              <w:t xml:space="preserve"> </w:t>
            </w:r>
            <w:r>
              <w:rPr>
                <w:rFonts w:ascii="Calibri" w:hAnsi="Calibri"/>
                <w:sz w:val="20"/>
              </w:rPr>
              <w:t xml:space="preserve">N = 251</w:t>
            </w:r>
          </w:p>
        </w:tc>
        <w:tc>
          <w:tcPr>
            <w:tcBorders>
              <w:bottom w:val="single" w:sz="16" w:space="0" w:color="D3D3D3"/>
            </w:tcBorders>
          </w:tcPr>
          <w:p>
            <w:pPr>
              <w:spacing w:before="0" w:after="60"/>
              <w:keepNext/>
              <w:jc w:val="center"/>
            </w:pPr>
            <w:r>
              <w:rPr>
                <w:b w:val="true"/>
                <w:rFonts w:ascii="Calibri" w:hAnsi="Calibri"/>
                <w:sz w:val="20"/>
              </w:rPr>
              <w:t xml:space="preserve">Full</w:t>
            </w:r>
            <w:r>
              <w:rPr>
                <w:rFonts w:ascii="Calibri" w:hAnsi="Calibri"/>
                <w:sz w:val="20"/>
              </w:rPr>
              <w:t xml:space="preserve"/>
            </w:r>
            <w:r>
              <w:rPr>
                <w:rFonts w:ascii="Calibri" w:hAnsi="Calibri"/>
                <w:sz w:val="20"/>
              </w:rPr>
              <w:t xml:space="preserve"> </w:t>
            </w:r>
            <w:r>
              <w:rPr>
                <w:rFonts w:ascii="Calibri" w:hAnsi="Calibri"/>
                <w:sz w:val="20"/>
              </w:rPr>
              <w:t xml:space="preserve">N = 199</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1,064</w:t>
            </w:r>
          </w:p>
        </w:tc>
        <w:tc>
          <w:tcPr>
            <w:tcBorders>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w:rPr>
                <w:rFonts w:ascii="Calibri" w:hAnsi="Calibri"/>
                <w:sz w:val="20"/>
              </w:rPr>
              <w:t xml:space="preserve"> </w:t>
            </w:r>
            <w:r>
              <w:rPr>
                <w:rFonts w:ascii="Calibri" w:hAnsi="Calibri"/>
                <w:sz w:val="20"/>
              </w:rPr>
              <w:t xml:space="preserve">N = 382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Pool</w:t>
            </w:r>
            <w:r>
              <w:rPr>
                <w:rFonts w:ascii="Calibri" w:hAnsi="Calibri"/>
                <w:sz w:val="20"/>
              </w:rPr>
              <w:t xml:space="preserve"/>
            </w:r>
            <w:r>
              <w:rPr>
                <w:rFonts w:ascii="Calibri" w:hAnsi="Calibri"/>
                <w:sz w:val="20"/>
              </w:rPr>
              <w:t xml:space="preserve"> </w:t>
            </w:r>
            <w:r>
              <w:rPr>
                <w:rFonts w:ascii="Calibri" w:hAnsi="Calibri"/>
                <w:sz w:val="20"/>
              </w:rPr>
              <w:t xml:space="preserve">N = 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Binary for at least one type of IPV incl. eco. in the last 12 months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Binary for at least one type of IPV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All IPV intensity index z-score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(1.07)</w:t>
            </w:r>
          </w:p>
        </w:tc>
      </w:tr>
    </w:tbl>
    <w:p>
      <w:r>
        <w:br w:type="page"/>
      </w:r>
    </w:p>
    <w:bookmarkEnd w:id="30"/>
    <w:bookmarkEnd w:id="31"/>
    <w:bookmarkStart w:id="50" w:name="other-household-characteristics"/>
    <w:p>
      <w:pPr>
        <w:pStyle w:val="Titre2"/>
      </w:pPr>
      <w:r>
        <w:t xml:space="preserve">Other household characteristics</w:t>
      </w:r>
    </w:p>
    <w:bookmarkStart w:id="32" w:name="household-head-is-female"/>
    <w:p>
      <w:pPr>
        <w:pStyle w:val="Titre3"/>
      </w:pPr>
      <w:r>
        <w:t xml:space="preserve">Household head is female</w:t>
      </w:r>
    </w:p>
    <w:p>
      <w:pPr>
        <w:pStyle w:val="Compact"/>
        <w:numPr>
          <w:ilvl w:val="0"/>
          <w:numId w:val="1018"/>
        </w:numPr>
      </w:pPr>
      <w:r>
        <w:t xml:space="preserve">71 percent of female hh head live with there male partner in the same house.</w:t>
      </w:r>
    </w:p>
    <w:p>
      <w:pPr>
        <w:pStyle w:val="Compact"/>
        <w:numPr>
          <w:ilvl w:val="0"/>
          <w:numId w:val="1018"/>
        </w:numPr>
      </w:pPr>
      <w:r>
        <w:t xml:space="preserve">12 percent of female hh head live are polygamous.</w:t>
      </w:r>
    </w:p>
    <w:p>
      <w:pPr>
        <w:jc w:val="center"/>
        <w:pStyle w:val="Figure"/>
      </w:pPr>
      <w:r>
        <w:rPr/>
        <w:drawing>
          <wp:inline distT="0" distB="0" distL="0" distR="0">
            <wp:extent cx="5486400" cy="3390595"/>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25"/>
                    <a:stretch>
                      <a:fillRect/>
                    </a:stretch>
                  </pic:blipFill>
                  <pic:spPr bwMode="auto">
                    <a:xfrm>
                      <a:off x="0" y="0"/>
                      <a:ext cx="76200" cy="47092"/>
                    </a:xfrm>
                    <a:prstGeom prst="rect">
                      <a:avLst/>
                    </a:prstGeom>
                    <a:noFill/>
                  </pic:spPr>
                </pic:pic>
              </a:graphicData>
            </a:graphic>
          </wp:inline>
        </w:drawing>
      </w:r>
    </w:p>
    <w:bookmarkEnd w:id="32"/>
    <w:bookmarkStart w:id="33" w:name="X1b328d3627c81e4075506a934f889caec1f951c"/>
    <w:p>
      <w:pPr>
        <w:pStyle w:val="Titre3"/>
      </w:pPr>
      <w:r>
        <w:t xml:space="preserve">Beneficiary relationship to household head</w:t>
      </w:r>
    </w:p>
    <w:p>
      <w:pPr>
        <w:jc w:val="center"/>
        <w:pStyle w:val="Figure"/>
      </w:pPr>
      <w:r>
        <w:rPr/>
        <w:drawing>
          <wp:inline distT="0" distB="0" distL="0" distR="0">
            <wp:extent cx="5486400" cy="3390595"/>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26"/>
                    <a:stretch>
                      <a:fillRect/>
                    </a:stretch>
                  </pic:blipFill>
                  <pic:spPr bwMode="auto">
                    <a:xfrm>
                      <a:off x="0" y="0"/>
                      <a:ext cx="76200" cy="47092"/>
                    </a:xfrm>
                    <a:prstGeom prst="rect">
                      <a:avLst/>
                    </a:prstGeom>
                    <a:noFill/>
                  </pic:spPr>
                </pic:pic>
              </a:graphicData>
            </a:graphic>
          </wp:inline>
        </w:drawing>
      </w:r>
    </w:p>
    <w:bookmarkEnd w:id="33"/>
    <w:bookmarkStart w:id="34" w:name="household-head-literacy"/>
    <w:p>
      <w:pPr>
        <w:pStyle w:val="Titre3"/>
      </w:pPr>
      <w:r>
        <w:t xml:space="preserve">Household head literacy</w:t>
      </w:r>
    </w:p>
    <w:p>
      <w:pPr>
        <w:jc w:val="center"/>
        <w:pStyle w:val="Figure"/>
      </w:pPr>
      <w:r>
        <w:rPr/>
        <w:drawing>
          <wp:inline distT="0" distB="0" distL="0" distR="0">
            <wp:extent cx="5486400" cy="3390595"/>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27"/>
                    <a:stretch>
                      <a:fillRect/>
                    </a:stretch>
                  </pic:blipFill>
                  <pic:spPr bwMode="auto">
                    <a:xfrm>
                      <a:off x="0" y="0"/>
                      <a:ext cx="76200" cy="47092"/>
                    </a:xfrm>
                    <a:prstGeom prst="rect">
                      <a:avLst/>
                    </a:prstGeom>
                    <a:noFill/>
                  </pic:spPr>
                </pic:pic>
              </a:graphicData>
            </a:graphic>
          </wp:inline>
        </w:drawing>
      </w:r>
    </w:p>
    <w:bookmarkEnd w:id="34"/>
    <w:bookmarkStart w:id="35" w:name="beneficiary-literacy"/>
    <w:p>
      <w:pPr>
        <w:pStyle w:val="Titre3"/>
      </w:pPr>
      <w:r>
        <w:t xml:space="preserve">Beneficiary literacy</w:t>
      </w:r>
    </w:p>
    <w:p>
      <w:pPr>
        <w:jc w:val="center"/>
        <w:pStyle w:val="Figure"/>
      </w:pPr>
      <w:r>
        <w:rPr/>
        <w:drawing>
          <wp:inline distT="0" distB="0" distL="0" distR="0">
            <wp:extent cx="5486400" cy="3390595"/>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28"/>
                    <a:stretch>
                      <a:fillRect/>
                    </a:stretch>
                  </pic:blipFill>
                  <pic:spPr bwMode="auto">
                    <a:xfrm>
                      <a:off x="0" y="0"/>
                      <a:ext cx="76200" cy="47092"/>
                    </a:xfrm>
                    <a:prstGeom prst="rect">
                      <a:avLst/>
                    </a:prstGeom>
                    <a:noFill/>
                  </pic:spPr>
                </pic:pic>
              </a:graphicData>
            </a:graphic>
          </wp:inline>
        </w:drawing>
      </w:r>
    </w:p>
    <w:bookmarkEnd w:id="35"/>
    <w:bookmarkStart w:id="36" w:name="X8da74fed3ed75c3a7f90e9457d2072862b6bb0d"/>
    <w:p>
      <w:pPr>
        <w:pStyle w:val="Titre3"/>
      </w:pPr>
      <w:r>
        <w:t xml:space="preserve">Household head nbr. of years of education</w:t>
      </w:r>
    </w:p>
    <w:p>
      <w:pPr>
        <w:jc w:val="center"/>
        <w:pStyle w:val="Figure"/>
      </w:pPr>
      <w:r>
        <w:rPr/>
        <w:drawing>
          <wp:inline distT="0" distB="0" distL="0" distR="0">
            <wp:extent cx="5486400" cy="3390595"/>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29"/>
                    <a:stretch>
                      <a:fillRect/>
                    </a:stretch>
                  </pic:blipFill>
                  <pic:spPr bwMode="auto">
                    <a:xfrm>
                      <a:off x="0" y="0"/>
                      <a:ext cx="76200" cy="47092"/>
                    </a:xfrm>
                    <a:prstGeom prst="rect">
                      <a:avLst/>
                    </a:prstGeom>
                    <a:noFill/>
                  </pic:spPr>
                </pic:pic>
              </a:graphicData>
            </a:graphic>
          </wp:inline>
        </w:drawing>
      </w:r>
    </w:p>
    <w:bookmarkEnd w:id="36"/>
    <w:bookmarkStart w:id="37" w:name="beneficiary-nbr.-of-years-of-education"/>
    <w:p>
      <w:pPr>
        <w:pStyle w:val="Titre3"/>
      </w:pPr>
      <w:r>
        <w:t xml:space="preserve">Beneficiary nbr. of years of education</w:t>
      </w:r>
    </w:p>
    <w:p>
      <w:pPr>
        <w:jc w:val="center"/>
        <w:pStyle w:val="Figure"/>
      </w:pPr>
      <w:r>
        <w:rPr/>
        <w:drawing>
          <wp:inline distT="0" distB="0" distL="0" distR="0">
            <wp:extent cx="5486400" cy="3390595"/>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30"/>
                    <a:stretch>
                      <a:fillRect/>
                    </a:stretch>
                  </pic:blipFill>
                  <pic:spPr bwMode="auto">
                    <a:xfrm>
                      <a:off x="0" y="0"/>
                      <a:ext cx="76200" cy="47092"/>
                    </a:xfrm>
                    <a:prstGeom prst="rect">
                      <a:avLst/>
                    </a:prstGeom>
                    <a:noFill/>
                  </pic:spPr>
                </pic:pic>
              </a:graphicData>
            </a:graphic>
          </wp:inline>
        </w:drawing>
      </w:r>
    </w:p>
    <w:bookmarkEnd w:id="37"/>
    <w:bookmarkStart w:id="38" w:name="beneficiary-is-handicapped"/>
    <w:p>
      <w:pPr>
        <w:pStyle w:val="Titre3"/>
      </w:pPr>
      <w:r>
        <w:t xml:space="preserve">Beneficiary is handicapped</w:t>
      </w:r>
    </w:p>
    <w:p>
      <w:pPr>
        <w:jc w:val="center"/>
        <w:pStyle w:val="Figure"/>
      </w:pPr>
      <w:r>
        <w:rPr/>
        <w:drawing>
          <wp:inline distT="0" distB="0" distL="0" distR="0">
            <wp:extent cx="5486400" cy="3390595"/>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31"/>
                    <a:stretch>
                      <a:fillRect/>
                    </a:stretch>
                  </pic:blipFill>
                  <pic:spPr bwMode="auto">
                    <a:xfrm>
                      <a:off x="0" y="0"/>
                      <a:ext cx="76200" cy="47092"/>
                    </a:xfrm>
                    <a:prstGeom prst="rect">
                      <a:avLst/>
                    </a:prstGeom>
                    <a:noFill/>
                  </pic:spPr>
                </pic:pic>
              </a:graphicData>
            </a:graphic>
          </wp:inline>
        </w:drawing>
      </w:r>
    </w:p>
    <w:bookmarkEnd w:id="38"/>
    <w:bookmarkStart w:id="39" w:name="beneficiary-is-in-a-polygamous-union"/>
    <w:p>
      <w:pPr>
        <w:pStyle w:val="Titre3"/>
      </w:pPr>
      <w:r>
        <w:t xml:space="preserve">Beneficiary is in a polygamous union</w:t>
      </w:r>
    </w:p>
    <w:p>
      <w:pPr>
        <w:jc w:val="center"/>
        <w:pStyle w:val="Figure"/>
      </w:pPr>
      <w:r>
        <w:rPr/>
        <w:drawing>
          <wp:inline distT="0" distB="0" distL="0" distR="0">
            <wp:extent cx="5486400" cy="3390595"/>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32"/>
                    <a:stretch>
                      <a:fillRect/>
                    </a:stretch>
                  </pic:blipFill>
                  <pic:spPr bwMode="auto">
                    <a:xfrm>
                      <a:off x="0" y="0"/>
                      <a:ext cx="76200" cy="47092"/>
                    </a:xfrm>
                    <a:prstGeom prst="rect">
                      <a:avLst/>
                    </a:prstGeom>
                    <a:noFill/>
                  </pic:spPr>
                </pic:pic>
              </a:graphicData>
            </a:graphic>
          </wp:inline>
        </w:drawing>
      </w:r>
    </w:p>
    <w:bookmarkEnd w:id="39"/>
    <w:bookmarkStart w:id="40" w:name="share-of-saving-own-by-partner"/>
    <w:p>
      <w:pPr>
        <w:pStyle w:val="Titre3"/>
      </w:pPr>
      <w:r>
        <w:t xml:space="preserve">Share of saving own by partner</w:t>
      </w:r>
    </w:p>
    <w:p>
      <w:pPr>
        <w:jc w:val="center"/>
        <w:pStyle w:val="Figure"/>
      </w:pPr>
      <w:r>
        <w:rPr/>
        <w:drawing>
          <wp:inline distT="0" distB="0" distL="0" distR="0">
            <wp:extent cx="5486400" cy="3390595"/>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33"/>
                    <a:stretch>
                      <a:fillRect/>
                    </a:stretch>
                  </pic:blipFill>
                  <pic:spPr bwMode="auto">
                    <a:xfrm>
                      <a:off x="0" y="0"/>
                      <a:ext cx="76200" cy="47092"/>
                    </a:xfrm>
                    <a:prstGeom prst="rect">
                      <a:avLst/>
                    </a:prstGeom>
                    <a:noFill/>
                  </pic:spPr>
                </pic:pic>
              </a:graphicData>
            </a:graphic>
          </wp:inline>
        </w:drawing>
      </w:r>
    </w:p>
    <w:bookmarkEnd w:id="40"/>
    <w:bookmarkStart w:id="41" w:name="control-over-earnings"/>
    <w:p>
      <w:pPr>
        <w:pStyle w:val="Titre3"/>
      </w:pPr>
      <w:r>
        <w:t xml:space="preserve">Control over earnings</w:t>
      </w:r>
    </w:p>
    <w:p>
      <w:pPr>
        <w:jc w:val="center"/>
        <w:pStyle w:val="Figure"/>
      </w:pPr>
      <w:r>
        <w:rPr/>
        <w:drawing>
          <wp:inline distT="0" distB="0" distL="0" distR="0">
            <wp:extent cx="5486400" cy="3390595"/>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34"/>
                    <a:stretch>
                      <a:fillRect/>
                    </a:stretch>
                  </pic:blipFill>
                  <pic:spPr bwMode="auto">
                    <a:xfrm>
                      <a:off x="0" y="0"/>
                      <a:ext cx="76200" cy="47092"/>
                    </a:xfrm>
                    <a:prstGeom prst="rect">
                      <a:avLst/>
                    </a:prstGeom>
                    <a:noFill/>
                  </pic:spPr>
                </pic:pic>
              </a:graphicData>
            </a:graphic>
          </wp:inline>
        </w:drawing>
      </w:r>
    </w:p>
    <w:bookmarkEnd w:id="41"/>
    <w:bookmarkStart w:id="42" w:name="control-over-household-resources"/>
    <w:p>
      <w:pPr>
        <w:pStyle w:val="Titre3"/>
      </w:pPr>
      <w:r>
        <w:t xml:space="preserve">Control over household resources</w:t>
      </w:r>
    </w:p>
    <w:p>
      <w:pPr>
        <w:jc w:val="center"/>
        <w:pStyle w:val="Figure"/>
      </w:pPr>
      <w:r>
        <w:rPr/>
        <w:drawing>
          <wp:inline distT="0" distB="0" distL="0" distR="0">
            <wp:extent cx="5486400" cy="3390595"/>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35"/>
                    <a:stretch>
                      <a:fillRect/>
                    </a:stretch>
                  </pic:blipFill>
                  <pic:spPr bwMode="auto">
                    <a:xfrm>
                      <a:off x="0" y="0"/>
                      <a:ext cx="76200" cy="47092"/>
                    </a:xfrm>
                    <a:prstGeom prst="rect">
                      <a:avLst/>
                    </a:prstGeom>
                    <a:noFill/>
                  </pic:spPr>
                </pic:pic>
              </a:graphicData>
            </a:graphic>
          </wp:inline>
        </w:drawing>
      </w:r>
    </w:p>
    <w:bookmarkEnd w:id="42"/>
    <w:bookmarkStart w:id="43" w:name="intra-household-dynamics"/>
    <w:p>
      <w:pPr>
        <w:pStyle w:val="Titre3"/>
      </w:pPr>
      <w:r>
        <w:t xml:space="preserve">Intra-household dynamics</w:t>
      </w:r>
    </w:p>
    <w:p>
      <w:pPr>
        <w:jc w:val="center"/>
        <w:pStyle w:val="Figure"/>
      </w:pPr>
      <w:r>
        <w:rPr/>
        <w:drawing>
          <wp:inline distT="0" distB="0" distL="0" distR="0">
            <wp:extent cx="5486400" cy="3390595"/>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36"/>
                    <a:stretch>
                      <a:fillRect/>
                    </a:stretch>
                  </pic:blipFill>
                  <pic:spPr bwMode="auto">
                    <a:xfrm>
                      <a:off x="0" y="0"/>
                      <a:ext cx="76200" cy="47092"/>
                    </a:xfrm>
                    <a:prstGeom prst="rect">
                      <a:avLst/>
                    </a:prstGeom>
                    <a:noFill/>
                  </pic:spPr>
                </pic:pic>
              </a:graphicData>
            </a:graphic>
          </wp:inline>
        </w:drawing>
      </w:r>
    </w:p>
    <w:bookmarkEnd w:id="43"/>
    <w:bookmarkStart w:id="44" w:name="benef.-share-of-total-household-revenues"/>
    <w:p>
      <w:pPr>
        <w:pStyle w:val="Titre3"/>
      </w:pPr>
      <w:r>
        <w:t xml:space="preserve">Benef. share of total household revenues</w:t>
      </w:r>
    </w:p>
    <w:p>
      <w:pPr>
        <w:jc w:val="center"/>
        <w:pStyle w:val="Figure"/>
      </w:pPr>
      <w:r>
        <w:rPr/>
        <w:drawing>
          <wp:inline distT="0" distB="0" distL="0" distR="0">
            <wp:extent cx="5486400" cy="3390595"/>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37"/>
                    <a:stretch>
                      <a:fillRect/>
                    </a:stretch>
                  </pic:blipFill>
                  <pic:spPr bwMode="auto">
                    <a:xfrm>
                      <a:off x="0" y="0"/>
                      <a:ext cx="76200" cy="47092"/>
                    </a:xfrm>
                    <a:prstGeom prst="rect">
                      <a:avLst/>
                    </a:prstGeom>
                    <a:noFill/>
                  </pic:spPr>
                </pic:pic>
              </a:graphicData>
            </a:graphic>
          </wp:inline>
        </w:drawing>
      </w:r>
    </w:p>
    <w:bookmarkEnd w:id="44"/>
    <w:bookmarkStart w:id="45" w:name="age-distribution"/>
    <w:p>
      <w:pPr>
        <w:pStyle w:val="Titre3"/>
      </w:pPr>
      <w:r>
        <w:t xml:space="preserve">Age distribution</w:t>
      </w:r>
    </w:p>
    <w:p>
      <w:pPr>
        <w:pStyle w:val="Normal"/>
      </w:pPr>
      <w:r>
        <w:t xml:space="preserve">Around 55 percent of the hhh are female benef.</w:t>
      </w:r>
    </w:p>
    <w:p>
      <w:pPr>
        <w:jc w:val="center"/>
        <w:pStyle w:val="Figure"/>
      </w:pPr>
      <w:r>
        <w:rPr/>
        <w:drawing>
          <wp:inline distT="0" distB="0" distL="0" distR="0">
            <wp:extent cx="5486400" cy="3390595"/>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38"/>
                    <a:stretch>
                      <a:fillRect/>
                    </a:stretch>
                  </pic:blipFill>
                  <pic:spPr bwMode="auto">
                    <a:xfrm>
                      <a:off x="0" y="0"/>
                      <a:ext cx="76200" cy="47092"/>
                    </a:xfrm>
                    <a:prstGeom prst="rect">
                      <a:avLst/>
                    </a:prstGeom>
                    <a:noFill/>
                  </pic:spPr>
                </pic:pic>
              </a:graphicData>
            </a:graphic>
          </wp:inline>
        </w:drawing>
      </w:r>
    </w:p>
    <w:bookmarkEnd w:id="45"/>
    <w:bookmarkStart w:id="49" w:name="enumerator"/>
    <w:p>
      <w:pPr>
        <w:pStyle w:val="Titre3"/>
      </w:pPr>
      <w:r>
        <w:t xml:space="preserve">Enumerator</w:t>
      </w:r>
    </w:p>
    <w:bookmarkStart w:id="46" w:name="all"/>
    <w:p>
      <w:pPr>
        <w:pStyle w:val="Titre4"/>
      </w:pPr>
      <w:r>
        <w:t xml:space="preserve">All</w:t>
      </w:r>
    </w:p>
    <w:p>
      <w:pPr>
        <w:jc w:val="center"/>
        <w:pStyle w:val="Figure"/>
      </w:pPr>
      <w:r>
        <w:rPr/>
        <w:drawing>
          <wp:inline distT="0" distB="0" distL="0" distR="0">
            <wp:extent cx="5486400" cy="3390595"/>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39"/>
                    <a:stretch>
                      <a:fillRect/>
                    </a:stretch>
                  </pic:blipFill>
                  <pic:spPr bwMode="auto">
                    <a:xfrm>
                      <a:off x="0" y="0"/>
                      <a:ext cx="76200" cy="47092"/>
                    </a:xfrm>
                    <a:prstGeom prst="rect">
                      <a:avLst/>
                    </a:prstGeom>
                    <a:noFill/>
                  </pic:spPr>
                </pic:pic>
              </a:graphicData>
            </a:graphic>
          </wp:inline>
        </w:drawing>
      </w:r>
    </w:p>
    <w:bookmarkEnd w:id="46"/>
    <w:bookmarkStart w:id="47" w:name="tekavoul"/>
    <w:p>
      <w:pPr>
        <w:pStyle w:val="Titre4"/>
      </w:pPr>
      <w:r>
        <w:t xml:space="preserve">Tekavoul</w:t>
      </w:r>
    </w:p>
    <w:p>
      <w:pPr>
        <w:jc w:val="center"/>
        <w:pStyle w:val="Figure"/>
      </w:pPr>
      <w:r>
        <w:rPr/>
        <w:drawing>
          <wp:inline distT="0" distB="0" distL="0" distR="0">
            <wp:extent cx="5486400" cy="3390595"/>
            <wp:docPr id="31" name="" descr=""/>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cstate="print" r:embed="rId40"/>
                    <a:stretch>
                      <a:fillRect/>
                    </a:stretch>
                  </pic:blipFill>
                  <pic:spPr bwMode="auto">
                    <a:xfrm>
                      <a:off x="0" y="0"/>
                      <a:ext cx="76200" cy="47092"/>
                    </a:xfrm>
                    <a:prstGeom prst="rect">
                      <a:avLst/>
                    </a:prstGeom>
                    <a:noFill/>
                  </pic:spPr>
                </pic:pic>
              </a:graphicData>
            </a:graphic>
          </wp:inline>
        </w:drawing>
      </w:r>
    </w:p>
    <w:bookmarkEnd w:id="47"/>
    <w:bookmarkStart w:id="48" w:name="productive-inclusion"/>
    <w:p>
      <w:pPr>
        <w:pStyle w:val="Titre4"/>
      </w:pPr>
      <w:r>
        <w:t xml:space="preserve">Productive inclusion</w:t>
      </w:r>
    </w:p>
    <w:p>
      <w:pPr>
        <w:jc w:val="center"/>
        <w:pStyle w:val="Figure"/>
      </w:pPr>
      <w:r>
        <w:rPr/>
        <w:drawing>
          <wp:inline distT="0" distB="0" distL="0" distR="0">
            <wp:extent cx="5486400" cy="3390595"/>
            <wp:docPr id="33" name="" descr=""/>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cstate="print" r:embed="rId41"/>
                    <a:stretch>
                      <a:fillRect/>
                    </a:stretch>
                  </pic:blipFill>
                  <pic:spPr bwMode="auto">
                    <a:xfrm>
                      <a:off x="0" y="0"/>
                      <a:ext cx="76200" cy="47092"/>
                    </a:xfrm>
                    <a:prstGeom prst="rect">
                      <a:avLst/>
                    </a:prstGeom>
                    <a:noFill/>
                  </pic:spPr>
                </pic:pic>
              </a:graphicData>
            </a:graphic>
          </wp:inline>
        </w:drawing>
      </w:r>
    </w:p>
    <w:bookmarkEnd w:id="48"/>
    <w:bookmarkEnd w:id="49"/>
    <w:bookmarkEnd w:id="50"/>
    <w:bookmarkEnd w:id="51"/>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4" Type="http://schemas.openxmlformats.org/officeDocument/2006/relationships/hyperlink" Target="https://journals.plos.org/plosone/article?id=10.1371/journal.pone.0282339" TargetMode="External"/>
<Relationship Id="rId25" Type="http://schemas.openxmlformats.org/officeDocument/2006/relationships/image" Target="media/6b47b2b8dc6c4b2ce612b24a52e46295033fe768.png"/>
<Relationship Id="rId26" Type="http://schemas.openxmlformats.org/officeDocument/2006/relationships/image" Target="media/8ee158ea2a8e796f90f3d8ea5436181356eee979.png"/>
<Relationship Id="rId27" Type="http://schemas.openxmlformats.org/officeDocument/2006/relationships/image" Target="media/900a709ee97973bc57cf7b891c3ed47c085bb37e.png"/>
<Relationship Id="rId28" Type="http://schemas.openxmlformats.org/officeDocument/2006/relationships/image" Target="media/8e85b41d6f5bde4af58b81333df1f515ef55740e.png"/>
<Relationship Id="rId29" Type="http://schemas.openxmlformats.org/officeDocument/2006/relationships/image" Target="media/b4573dc263fe31a393ffc0be5a1fefa2fcf11d2f.png"/>
<Relationship Id="rId30" Type="http://schemas.openxmlformats.org/officeDocument/2006/relationships/image" Target="media/874b8ff16e1dd1561a9a713defaab67f580da35c.png"/>
<Relationship Id="rId31" Type="http://schemas.openxmlformats.org/officeDocument/2006/relationships/image" Target="media/cb0c7eab44ddb6a89462e6dfb7995f97a12b579e.png"/>
<Relationship Id="rId32" Type="http://schemas.openxmlformats.org/officeDocument/2006/relationships/image" Target="media/57bd5d1af0c7b72cba7a78f6590c2435a5011f64.png"/>
<Relationship Id="rId33" Type="http://schemas.openxmlformats.org/officeDocument/2006/relationships/image" Target="media/3c54bbef284d88caf864fa4b742ca195ba3f6436.png"/>
<Relationship Id="rId34" Type="http://schemas.openxmlformats.org/officeDocument/2006/relationships/image" Target="media/0026e89c575f51bd651433e23059319709b35714.png"/>
<Relationship Id="rId35" Type="http://schemas.openxmlformats.org/officeDocument/2006/relationships/image" Target="media/341b28f6e30a7eadb8d82d11f3c80778c4ce1d24.png"/>
<Relationship Id="rId36" Type="http://schemas.openxmlformats.org/officeDocument/2006/relationships/image" Target="media/0af7af9ae8297f62e9206ac42bbd64869d6e6dc9.png"/>
<Relationship Id="rId37" Type="http://schemas.openxmlformats.org/officeDocument/2006/relationships/image" Target="media/51d23d6d8700121c1c3db4f77ae4fd689b64d21b.png"/>
<Relationship Id="rId38" Type="http://schemas.openxmlformats.org/officeDocument/2006/relationships/image" Target="media/539d51659c7f0715405517a82d8842e68ab5bbb9.png"/>
<Relationship Id="rId39" Type="http://schemas.openxmlformats.org/officeDocument/2006/relationships/image" Target="media/e38056467e34e1026524e62f8e893755270311d9.png"/>
<Relationship Id="rId40" Type="http://schemas.openxmlformats.org/officeDocument/2006/relationships/image" Target="media/5ff5903aefbbb237f5be2b54d6572a72dc76ba72.png"/>
<Relationship Id="rId41" Type="http://schemas.openxmlformats.org/officeDocument/2006/relationships/image" Target="media/89ccf1f1e31ceaeac44f7eacc282f02f962eb61d.png"/>
</Relationships>

</file>

<file path=word/_rels/footnotes.xml.rels><?xml version="1.0" encoding="UTF-8" standalone="yes"?>

<Relationships  xmlns="http://schemas.openxmlformats.org/package/2006/relationships">
<Relationship Id="rId24" Type="http://schemas.openxmlformats.org/officeDocument/2006/relationships/hyperlink" Target="https://journals.plos.org/plosone/article?id=10.1371/journal.pone.02823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Cash Plus, Safety Plus? Intimate Partner Violence and Productive Inclusion in Mauritania</dc:title>
  <dc:creator>IBRAHIM KASSOUM Habibou</dc:creator>
  <cp:keywords/>
  <dcterms:created xsi:type="dcterms:W3CDTF">2025-03-25T15:59:41Z</dcterms:created>
  <dcterms:modified xsi:type="dcterms:W3CDTF">2025-03-25T16:59:41Z</dcterms:modified>
  <cp:lastModifiedBy>ibrahimkassoumhabibou</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March 2025</vt:lpwstr>
  </property>
  <property fmtid="{D5CDD505-2E9C-101B-9397-08002B2CF9AE}" pid="3" name="output">
    <vt:lpwstr/>
  </property>
  <property fmtid="{D5CDD505-2E9C-101B-9397-08002B2CF9AE}" pid="4" name="subtitle">
    <vt:lpwstr>Descriptive statistics</vt:lpwstr>
  </property>
</Properties>
</file>