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Visao de Satelite — Relatorio Consolidado</w:t>
      </w:r>
    </w:p>
    <w:p>
      <w:r>
        <w:rPr>
          <w:b/>
        </w:rPr>
        <w:t>Camada de inteligencia geoespacial para expansao — Brasil de mercado</w:t>
        <w:br/>
      </w:r>
      <w:r>
        <w:t>486.850 hexagonos H3 res 7 (~5,16 km²) · 12 UFs · 3.892 municipios · anos 2016-2023</w:t>
        <w:br/>
      </w:r>
      <w:r>
        <w:t>Autor: Juan Lima · Data: 2026-07-13 · Custo de dados: zero</w:t>
      </w:r>
    </w:p>
    <w:p>
      <w:pPr>
        <w:pStyle w:val="Heading1"/>
      </w:pPr>
      <w:r>
        <w:rPr>
          <w:color w:val="1F3A5F"/>
        </w:rPr>
        <w:t>Sumario executivo</w:t>
      </w:r>
    </w:p>
    <w:p>
      <w:r>
        <w:t>Esta PoC construiu, a custo zero de dados, uma camada de satelite que mede a construcao no chao e sua evolucao no tempo, para todo o Brasil de mercado. Tres conclusoes:</w:t>
      </w:r>
    </w:p>
    <w:p>
      <w:r>
        <w:rPr>
          <w:b/>
          <w:color w:val="1E7A33"/>
        </w:rPr>
        <w:t>1. O satelite REPRODUZ o Censo. Em 3.892 municipios de 12 estados, a construcao vista do espaco se alinha a populacao do Censo com r = 0,86 (0,89 a 0,94 por estado; 0,96 em Goiania). A leitura e' confiavel e independente.</w:t>
      </w:r>
    </w:p>
    <w:p>
      <w:r>
        <w:rPr>
          <w:b/>
          <w:color w:val="1E7A33"/>
        </w:rPr>
        <w:t>2. E ve o que o Censo NAO ve: o tempo. O Censo e' uma foto de 2022. O satelite entrega trajetoria 2016-2023 por hexagono — inclusive ACELERACAO (esta ganhando ritmo agora?), que nenhuma fonte censitaria produz.</w:t>
      </w:r>
    </w:p>
    <w:p>
      <w:r>
        <w:rPr>
          <w:b/>
          <w:color w:val="C8001E"/>
        </w:rPr>
        <w:t>3. O baseline atual do M1 e' cego dentro do municipio. O score do M1 e' constante para todos os hexagonos de um mesmo municipio (3.890 de 3.890). Medimos o custo: 68,2% da variacao da densidade e 76,8% da variacao do crescimento sao intramunicipais — invisiveis a triagem de hoje.</w:t>
      </w:r>
    </w:p>
    <w:p>
      <w:pPr>
        <w:pStyle w:val="Heading1"/>
      </w:pPr>
      <w:r>
        <w:rPr>
          <w:color w:val="1F3A5F"/>
        </w:rPr>
        <w:t>1. O que foi processado</w:t>
      </w:r>
    </w:p>
    <w:p>
      <w:r>
        <w:t>Camada de edificacoes (Google 2.5D) e luz noturna (VIIRS) para os 12 estados que concentram a demanda: todo o Sudeste (SP, MG, RJ, ES), todo o Sul (PR, RS, SC), capitais e regioes metropolitanas do Nordeste (BA, PE, CE) e o Centro-Oeste (GO, DF). Total: 486.850 hexagonos, anos 2016 e 2023.</w:t>
      </w:r>
    </w:p>
    <w:p>
      <w:r>
        <w:t>Escopo, com honestidade: 'todo o Brasil' aqui significa o Brasil DE MERCADO. Interior Norte/Nordeste e Amazonia ficaram de fora por ausencia de mercado de academia, nao por limite tecnico — o pipeline roda em qualquer UF quando necessario. Fontes gratuitas com uso comercial; nenhum artefato oficial do M1 foi alterado.</w:t>
      </w:r>
    </w:p>
    <w:p>
      <w:pPr>
        <w:pStyle w:val="Heading1"/>
      </w:pPr>
      <w:r>
        <w:rPr>
          <w:color w:val="1F3A5F"/>
        </w:rPr>
        <w:t>2. O satelite reproduz o Censo — a leitura e' confiavel</w:t>
      </w:r>
    </w:p>
    <w:p>
      <w:r>
        <w:rPr>
          <w:b/>
          <w:color w:val="1E7A33"/>
        </w:rPr>
        <w:t>CONFIRMADO EM ESCALA. Em 3.892 municipios de 12 estados, a construcao vista pelo satelite se alinha a populacao do Censo com r = 0,86 (log-log agregado), e TODOS os estados ficam entre 0,89 e 0,94 individualmente.</w:t>
      </w:r>
    </w:p>
    <w:p>
      <w:r>
        <w:t>A camada primaria e' a de EDIFICACOES, nao a de luz: em escala nacional, a luz noturna (VIIRS) atingiu apenas r = 0,58 contra r = 0,86 dos footprints. A consistencia em biomas e faixas de renda muito diferentes (Sudeste rico, Nordeste mais pobre, Sul, Centro-Oeste) e' a prova de que o achado nao foi sorte local.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834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prints_vs_cen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3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Satelite x Censo em 3.892 municipios de 12 estados. Cada ponto e' um municipio. r = 0,86 (log-log).</w:t>
      </w:r>
    </w:p>
    <w:p>
      <w:pPr>
        <w:pStyle w:val="Heading1"/>
      </w:pPr>
      <w:r>
        <w:rPr>
          <w:color w:val="1F3A5F"/>
        </w:rPr>
        <w:t>3. Indice de crescimento — onde o mercado esta crescendo</w:t>
      </w:r>
    </w:p>
    <w:p>
      <w:r>
        <w:t>Somados os 12 estados, a populacao cresceu 6,1% entre os Censos de 2010 e 2022 — enquanto a area construida e a luz noturna avancaram cerca de 23%. O Brasil de mercado ADENSOU muito mais rapido do que cresceu em 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crescimento_u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Crescimento por estado: pessoas (Censo, azul) e area construida (Satelite, verde).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Cresc. populacional (Censo)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area que cresceu (Satelite)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 vs Censo</w:t>
            </w:r>
          </w:p>
        </w:tc>
      </w:tr>
      <w:tr>
        <w:tc>
          <w:tcPr>
            <w:tcW w:type="dxa" w:w="2160"/>
          </w:tcPr>
          <w:p>
            <w:r>
              <w:t>SC</w:t>
            </w:r>
          </w:p>
        </w:tc>
        <w:tc>
          <w:tcPr>
            <w:tcW w:type="dxa" w:w="2160"/>
          </w:tcPr>
          <w:p>
            <w:r>
              <w:t>21,8%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0,91</w:t>
            </w:r>
          </w:p>
        </w:tc>
      </w:tr>
      <w:tr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17,5%</w:t>
            </w:r>
          </w:p>
        </w:tc>
        <w:tc>
          <w:tcPr>
            <w:tcW w:type="dxa" w:w="2160"/>
          </w:tcPr>
          <w:p>
            <w:r>
              <w:t>67%</w:t>
            </w:r>
          </w:p>
        </w:tc>
        <w:tc>
          <w:tcPr>
            <w:tcW w:type="dxa" w:w="2160"/>
          </w:tcPr>
          <w:p>
            <w:r>
              <w:t>0,89</w:t>
            </w:r>
          </w:p>
        </w:tc>
      </w:tr>
      <w:tr>
        <w:tc>
          <w:tcPr>
            <w:tcW w:type="dxa" w:w="2160"/>
          </w:tcPr>
          <w:p>
            <w:r>
              <w:t>DF</w:t>
            </w:r>
          </w:p>
        </w:tc>
        <w:tc>
          <w:tcPr>
            <w:tcW w:type="dxa" w:w="2160"/>
          </w:tcPr>
          <w:p>
            <w:r>
              <w:t>9,6%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PR</w:t>
            </w:r>
          </w:p>
        </w:tc>
        <w:tc>
          <w:tcPr>
            <w:tcW w:type="dxa" w:w="2160"/>
          </w:tcPr>
          <w:p>
            <w:r>
              <w:t>9,6%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0,91</w:t>
            </w:r>
          </w:p>
        </w:tc>
      </w:tr>
      <w:tr>
        <w:tc>
          <w:tcPr>
            <w:tcW w:type="dxa" w:w="2160"/>
          </w:tcPr>
          <w:p>
            <w:r>
              <w:t>ES</w:t>
            </w:r>
          </w:p>
        </w:tc>
        <w:tc>
          <w:tcPr>
            <w:tcW w:type="dxa" w:w="2160"/>
          </w:tcPr>
          <w:p>
            <w:r>
              <w:t>9,1%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</w:tr>
      <w:tr>
        <w:tc>
          <w:tcPr>
            <w:tcW w:type="dxa" w:w="2160"/>
          </w:tcPr>
          <w:p>
            <w:r>
              <w:t>SP</w:t>
            </w:r>
          </w:p>
        </w:tc>
        <w:tc>
          <w:tcPr>
            <w:tcW w:type="dxa" w:w="2160"/>
          </w:tcPr>
          <w:p>
            <w:r>
              <w:t>7,6%</w:t>
            </w:r>
          </w:p>
        </w:tc>
        <w:tc>
          <w:tcPr>
            <w:tcW w:type="dxa" w:w="2160"/>
          </w:tcPr>
          <w:p>
            <w:r>
              <w:t>64%</w:t>
            </w:r>
          </w:p>
        </w:tc>
        <w:tc>
          <w:tcPr>
            <w:tcW w:type="dxa" w:w="2160"/>
          </w:tcPr>
          <w:p>
            <w:r>
              <w:t>0,91</w:t>
            </w:r>
          </w:p>
        </w:tc>
      </w:tr>
      <w:tr>
        <w:tc>
          <w:tcPr>
            <w:tcW w:type="dxa" w:w="2160"/>
          </w:tcPr>
          <w:p>
            <w:r>
              <w:t>MG</w:t>
            </w:r>
          </w:p>
        </w:tc>
        <w:tc>
          <w:tcPr>
            <w:tcW w:type="dxa" w:w="2160"/>
          </w:tcPr>
          <w:p>
            <w:r>
              <w:t>4,8%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0,89</w:t>
            </w:r>
          </w:p>
        </w:tc>
      </w:tr>
      <w:tr>
        <w:tc>
          <w:tcPr>
            <w:tcW w:type="dxa" w:w="2160"/>
          </w:tcPr>
          <w:p>
            <w:r>
              <w:t>CE</w:t>
            </w:r>
          </w:p>
        </w:tc>
        <w:tc>
          <w:tcPr>
            <w:tcW w:type="dxa" w:w="2160"/>
          </w:tcPr>
          <w:p>
            <w:r>
              <w:t>4,1%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0,92</w:t>
            </w:r>
          </w:p>
        </w:tc>
      </w:tr>
      <w:tr>
        <w:tc>
          <w:tcPr>
            <w:tcW w:type="dxa" w:w="2160"/>
          </w:tcPr>
          <w:p>
            <w:r>
              <w:t>PE</w:t>
            </w:r>
          </w:p>
        </w:tc>
        <w:tc>
          <w:tcPr>
            <w:tcW w:type="dxa" w:w="2160"/>
          </w:tcPr>
          <w:p>
            <w:r>
              <w:t>3,0%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0,91</w:t>
            </w:r>
          </w:p>
        </w:tc>
      </w:tr>
      <w:tr>
        <w:tc>
          <w:tcPr>
            <w:tcW w:type="dxa" w:w="2160"/>
          </w:tcPr>
          <w:p>
            <w:r>
              <w:t>RS</w:t>
            </w:r>
          </w:p>
        </w:tc>
        <w:tc>
          <w:tcPr>
            <w:tcW w:type="dxa" w:w="2160"/>
          </w:tcPr>
          <w:p>
            <w:r>
              <w:t>1,8%</w:t>
            </w:r>
          </w:p>
        </w:tc>
        <w:tc>
          <w:tcPr>
            <w:tcW w:type="dxa" w:w="2160"/>
          </w:tcPr>
          <w:p>
            <w:r>
              <w:t>64%</w:t>
            </w:r>
          </w:p>
        </w:tc>
        <w:tc>
          <w:tcPr>
            <w:tcW w:type="dxa" w:w="2160"/>
          </w:tcPr>
          <w:p>
            <w:r>
              <w:t>0,92</w:t>
            </w:r>
          </w:p>
        </w:tc>
      </w:tr>
      <w:tr>
        <w:tc>
          <w:tcPr>
            <w:tcW w:type="dxa" w:w="2160"/>
          </w:tcPr>
          <w:p>
            <w:r>
              <w:t>BA</w:t>
            </w:r>
          </w:p>
        </w:tc>
        <w:tc>
          <w:tcPr>
            <w:tcW w:type="dxa" w:w="2160"/>
          </w:tcPr>
          <w:p>
            <w:r>
              <w:t>0,9%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0,91</w:t>
            </w:r>
          </w:p>
        </w:tc>
      </w:tr>
      <w:tr>
        <w:tc>
          <w:tcPr>
            <w:tcW w:type="dxa" w:w="2160"/>
          </w:tcPr>
          <w:p>
            <w:r>
              <w:t>RJ</w:t>
            </w:r>
          </w:p>
        </w:tc>
        <w:tc>
          <w:tcPr>
            <w:tcW w:type="dxa" w:w="2160"/>
          </w:tcPr>
          <w:p>
            <w:r>
              <w:t>0,4%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</w:tr>
    </w:tbl>
    <w:p>
      <w:r>
        <w:t>Os 12 municipios que mais cresceram (populacao &gt;= 20 mil):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Municipio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Pop. 2022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Cresc. populacional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Satelite (delta pp)</w:t>
            </w:r>
          </w:p>
        </w:tc>
      </w:tr>
      <w:tr>
        <w:tc>
          <w:tcPr>
            <w:tcW w:type="dxa" w:w="1728"/>
          </w:tcPr>
          <w:p>
            <w:r>
              <w:t>Goianira</w:t>
            </w:r>
          </w:p>
        </w:tc>
        <w:tc>
          <w:tcPr>
            <w:tcW w:type="dxa" w:w="1728"/>
          </w:tcPr>
          <w:p>
            <w:r>
              <w:t>GO</w:t>
            </w:r>
          </w:p>
        </w:tc>
        <w:tc>
          <w:tcPr>
            <w:tcW w:type="dxa" w:w="1728"/>
          </w:tcPr>
          <w:p>
            <w:r>
              <w:t>71.916</w:t>
            </w:r>
          </w:p>
        </w:tc>
        <w:tc>
          <w:tcPr>
            <w:tcW w:type="dxa" w:w="1728"/>
          </w:tcPr>
          <w:p>
            <w:r>
              <w:t>111,1%</w:t>
            </w:r>
          </w:p>
        </w:tc>
        <w:tc>
          <w:tcPr>
            <w:tcW w:type="dxa" w:w="1728"/>
          </w:tcPr>
          <w:p>
            <w:r>
              <w:t>+0,63</w:t>
            </w:r>
          </w:p>
        </w:tc>
      </w:tr>
      <w:tr>
        <w:tc>
          <w:tcPr>
            <w:tcW w:type="dxa" w:w="1728"/>
          </w:tcPr>
          <w:p>
            <w:r>
              <w:t>Itapoá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30.750</w:t>
            </w:r>
          </w:p>
        </w:tc>
        <w:tc>
          <w:tcPr>
            <w:tcW w:type="dxa" w:w="1728"/>
          </w:tcPr>
          <w:p>
            <w:r>
              <w:t>108,3%</w:t>
            </w:r>
          </w:p>
        </w:tc>
        <w:tc>
          <w:tcPr>
            <w:tcW w:type="dxa" w:w="1728"/>
          </w:tcPr>
          <w:p>
            <w:r>
              <w:t>+0,43</w:t>
            </w:r>
          </w:p>
        </w:tc>
      </w:tr>
      <w:tr>
        <w:tc>
          <w:tcPr>
            <w:tcW w:type="dxa" w:w="1728"/>
          </w:tcPr>
          <w:p>
            <w:r>
              <w:t>Barra Velha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45.369</w:t>
            </w:r>
          </w:p>
        </w:tc>
        <w:tc>
          <w:tcPr>
            <w:tcW w:type="dxa" w:w="1728"/>
          </w:tcPr>
          <w:p>
            <w:r>
              <w:t>102,7%</w:t>
            </w:r>
          </w:p>
        </w:tc>
        <w:tc>
          <w:tcPr>
            <w:tcW w:type="dxa" w:w="1728"/>
          </w:tcPr>
          <w:p>
            <w:r>
              <w:t>+0,78</w:t>
            </w:r>
          </w:p>
        </w:tc>
      </w:tr>
      <w:tr>
        <w:tc>
          <w:tcPr>
            <w:tcW w:type="dxa" w:w="1728"/>
          </w:tcPr>
          <w:p>
            <w:r>
              <w:t>Extrema</w:t>
            </w:r>
          </w:p>
        </w:tc>
        <w:tc>
          <w:tcPr>
            <w:tcW w:type="dxa" w:w="1728"/>
          </w:tcPr>
          <w:p>
            <w:r>
              <w:t>MG</w:t>
            </w:r>
          </w:p>
        </w:tc>
        <w:tc>
          <w:tcPr>
            <w:tcW w:type="dxa" w:w="1728"/>
          </w:tcPr>
          <w:p>
            <w:r>
              <w:t>53.482</w:t>
            </w:r>
          </w:p>
        </w:tc>
        <w:tc>
          <w:tcPr>
            <w:tcW w:type="dxa" w:w="1728"/>
          </w:tcPr>
          <w:p>
            <w:r>
              <w:t>87,0%</w:t>
            </w:r>
          </w:p>
        </w:tc>
        <w:tc>
          <w:tcPr>
            <w:tcW w:type="dxa" w:w="1728"/>
          </w:tcPr>
          <w:p>
            <w:r>
              <w:t>+0,92</w:t>
            </w:r>
          </w:p>
        </w:tc>
      </w:tr>
      <w:tr>
        <w:tc>
          <w:tcPr>
            <w:tcW w:type="dxa" w:w="1728"/>
          </w:tcPr>
          <w:p>
            <w:r>
              <w:t>Bady Bassitt</w:t>
            </w:r>
          </w:p>
        </w:tc>
        <w:tc>
          <w:tcPr>
            <w:tcW w:type="dxa" w:w="1728"/>
          </w:tcPr>
          <w:p>
            <w:r>
              <w:t>SP</w:t>
            </w:r>
          </w:p>
        </w:tc>
        <w:tc>
          <w:tcPr>
            <w:tcW w:type="dxa" w:w="1728"/>
          </w:tcPr>
          <w:p>
            <w:r>
              <w:t>27.260</w:t>
            </w:r>
          </w:p>
        </w:tc>
        <w:tc>
          <w:tcPr>
            <w:tcW w:type="dxa" w:w="1728"/>
          </w:tcPr>
          <w:p>
            <w:r>
              <w:t>86,7%</w:t>
            </w:r>
          </w:p>
        </w:tc>
        <w:tc>
          <w:tcPr>
            <w:tcW w:type="dxa" w:w="1728"/>
          </w:tcPr>
          <w:p>
            <w:r>
              <w:t>+0,77</w:t>
            </w:r>
          </w:p>
        </w:tc>
      </w:tr>
      <w:tr>
        <w:tc>
          <w:tcPr>
            <w:tcW w:type="dxa" w:w="1728"/>
          </w:tcPr>
          <w:p>
            <w:r>
              <w:t>Senador Canedo</w:t>
            </w:r>
          </w:p>
        </w:tc>
        <w:tc>
          <w:tcPr>
            <w:tcW w:type="dxa" w:w="1728"/>
          </w:tcPr>
          <w:p>
            <w:r>
              <w:t>GO</w:t>
            </w:r>
          </w:p>
        </w:tc>
        <w:tc>
          <w:tcPr>
            <w:tcW w:type="dxa" w:w="1728"/>
          </w:tcPr>
          <w:p>
            <w:r>
              <w:t>155.635</w:t>
            </w:r>
          </w:p>
        </w:tc>
        <w:tc>
          <w:tcPr>
            <w:tcW w:type="dxa" w:w="1728"/>
          </w:tcPr>
          <w:p>
            <w:r>
              <w:t>84,3%</w:t>
            </w:r>
          </w:p>
        </w:tc>
        <w:tc>
          <w:tcPr>
            <w:tcW w:type="dxa" w:w="1728"/>
          </w:tcPr>
          <w:p>
            <w:r>
              <w:t>+1,19</w:t>
            </w:r>
          </w:p>
        </w:tc>
      </w:tr>
      <w:tr>
        <w:tc>
          <w:tcPr>
            <w:tcW w:type="dxa" w:w="1728"/>
          </w:tcPr>
          <w:p>
            <w:r>
              <w:t>Araquari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45.283</w:t>
            </w:r>
          </w:p>
        </w:tc>
        <w:tc>
          <w:tcPr>
            <w:tcW w:type="dxa" w:w="1728"/>
          </w:tcPr>
          <w:p>
            <w:r>
              <w:t>82,5%</w:t>
            </w:r>
          </w:p>
        </w:tc>
        <w:tc>
          <w:tcPr>
            <w:tcW w:type="dxa" w:w="1728"/>
          </w:tcPr>
          <w:p>
            <w:r>
              <w:t>+0,42</w:t>
            </w:r>
          </w:p>
        </w:tc>
      </w:tr>
      <w:tr>
        <w:tc>
          <w:tcPr>
            <w:tcW w:type="dxa" w:w="1728"/>
          </w:tcPr>
          <w:p>
            <w:r>
              <w:t>Fazenda Rio Grande</w:t>
            </w:r>
          </w:p>
        </w:tc>
        <w:tc>
          <w:tcPr>
            <w:tcW w:type="dxa" w:w="1728"/>
          </w:tcPr>
          <w:p>
            <w:r>
              <w:t>PR</w:t>
            </w:r>
          </w:p>
        </w:tc>
        <w:tc>
          <w:tcPr>
            <w:tcW w:type="dxa" w:w="1728"/>
          </w:tcPr>
          <w:p>
            <w:r>
              <w:t>148.873</w:t>
            </w:r>
          </w:p>
        </w:tc>
        <w:tc>
          <w:tcPr>
            <w:tcW w:type="dxa" w:w="1728"/>
          </w:tcPr>
          <w:p>
            <w:r>
              <w:t>82,3%</w:t>
            </w:r>
          </w:p>
        </w:tc>
        <w:tc>
          <w:tcPr>
            <w:tcW w:type="dxa" w:w="1728"/>
          </w:tcPr>
          <w:p>
            <w:r>
              <w:t>+2,05</w:t>
            </w:r>
          </w:p>
        </w:tc>
      </w:tr>
      <w:tr>
        <w:tc>
          <w:tcPr>
            <w:tcW w:type="dxa" w:w="1728"/>
          </w:tcPr>
          <w:p>
            <w:r>
              <w:t>Itaitinga</w:t>
            </w:r>
          </w:p>
        </w:tc>
        <w:tc>
          <w:tcPr>
            <w:tcW w:type="dxa" w:w="1728"/>
          </w:tcPr>
          <w:p>
            <w:r>
              <w:t>CE</w:t>
            </w:r>
          </w:p>
        </w:tc>
        <w:tc>
          <w:tcPr>
            <w:tcW w:type="dxa" w:w="1728"/>
          </w:tcPr>
          <w:p>
            <w:r>
              <w:t>64.650</w:t>
            </w:r>
          </w:p>
        </w:tc>
        <w:tc>
          <w:tcPr>
            <w:tcW w:type="dxa" w:w="1728"/>
          </w:tcPr>
          <w:p>
            <w:r>
              <w:t>80,5%</w:t>
            </w:r>
          </w:p>
        </w:tc>
        <w:tc>
          <w:tcPr>
            <w:tcW w:type="dxa" w:w="1728"/>
          </w:tcPr>
          <w:p>
            <w:r>
              <w:t>+0,74</w:t>
            </w:r>
          </w:p>
        </w:tc>
      </w:tr>
      <w:tr>
        <w:tc>
          <w:tcPr>
            <w:tcW w:type="dxa" w:w="1728"/>
          </w:tcPr>
          <w:p>
            <w:r>
              <w:t>Luís Eduardo Magalhães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107.909</w:t>
            </w:r>
          </w:p>
        </w:tc>
        <w:tc>
          <w:tcPr>
            <w:tcW w:type="dxa" w:w="1728"/>
          </w:tcPr>
          <w:p>
            <w:r>
              <w:t>79,5%</w:t>
            </w:r>
          </w:p>
        </w:tc>
        <w:tc>
          <w:tcPr>
            <w:tcW w:type="dxa" w:w="1728"/>
          </w:tcPr>
          <w:p>
            <w:r>
              <w:t>+0,07</w:t>
            </w:r>
          </w:p>
        </w:tc>
      </w:tr>
      <w:tr>
        <w:tc>
          <w:tcPr>
            <w:tcW w:type="dxa" w:w="1728"/>
          </w:tcPr>
          <w:p>
            <w:r>
              <w:t>Bombinhas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25.058</w:t>
            </w:r>
          </w:p>
        </w:tc>
        <w:tc>
          <w:tcPr>
            <w:tcW w:type="dxa" w:w="1728"/>
          </w:tcPr>
          <w:p>
            <w:r>
              <w:t>75,3%</w:t>
            </w:r>
          </w:p>
        </w:tc>
        <w:tc>
          <w:tcPr>
            <w:tcW w:type="dxa" w:w="1728"/>
          </w:tcPr>
          <w:p>
            <w:r>
              <w:t>+0,81</w:t>
            </w:r>
          </w:p>
        </w:tc>
      </w:tr>
      <w:tr>
        <w:tc>
          <w:tcPr>
            <w:tcW w:type="dxa" w:w="1728"/>
          </w:tcPr>
          <w:p>
            <w:r>
              <w:t>Porto Belo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27.688</w:t>
            </w:r>
          </w:p>
        </w:tc>
        <w:tc>
          <w:tcPr>
            <w:tcW w:type="dxa" w:w="1728"/>
          </w:tcPr>
          <w:p>
            <w:r>
              <w:t>72,2%</w:t>
            </w:r>
          </w:p>
        </w:tc>
        <w:tc>
          <w:tcPr>
            <w:tcW w:type="dxa" w:w="1728"/>
          </w:tcPr>
          <w:p>
            <w:r>
              <w:t>+0,43</w:t>
            </w:r>
          </w:p>
        </w:tc>
      </w:tr>
    </w:tbl>
    <w:p>
      <w:r>
        <w:t>Tabela completa dos 3.892 municipios em data/nacional/indice_crescimento_municipios.csv.</w:t>
      </w:r>
    </w:p>
    <w:p>
      <w:pPr>
        <w:pStyle w:val="Heading1"/>
      </w:pPr>
      <w:r>
        <w:rPr>
          <w:color w:val="1F3A5F"/>
        </w:rPr>
        <w:t>4. Aceleracao — onde o crescimento esta ganhando ritmo AGORA</w:t>
      </w:r>
    </w:p>
    <w:p>
      <w:r>
        <w:t>Este e' o dado que nenhuma fonte censitaria produz. Usando a serie anual completa do satelite, comparamos duas janelas por hexagono: o crescimento INICIAL (2016-2019) contra o RECENTE (2020-2023). Quem cresce mais rapido agora do que antes esta ACELERANDO — e' a borda de expansao, e nao necessariamente o maior mercado de hoje.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090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aceler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Acima da diagonal = acelerando. O tamanho do ponto e' a populacao. Destaque no anel de expansao paulista (Cajamar, Itupeva) e no Sul/Nordeste.</w:t>
      </w:r>
    </w:p>
    <w:p>
      <w:r>
        <w:rPr>
          <w:b/>
          <w:color w:val="1E7A33"/>
        </w:rPr>
        <w:t>Leitura para expansao: tamanho atual != oportunidade. Um mercado maduro (ex.: a capital Goiania) tem grande estoque construido mas ja ESFRIA; o crescimento transborda para a borda, que ACELERA. Priorizar por aceleracao coloca a unidade onde a demanda ESTARA, nao onde ela ja saturou.</w:t>
      </w:r>
    </w:p>
    <w:p>
      <w:r>
        <w:t>Cobertura: a aceleracao esta medida para os 1.224 municipios (pop &gt;= 20 mil) das 12 UFs de mercado — a serie completa de 8 anos foi processada para todas. Entre os maiores mercados, os que mais GANHAM RITMO agora sao Cajamar/SP, Eusébio/CE, Vargem Grande Paulista/SP, Extrema/MG — o anel de expansao da Grande Sao Paulo e polos logisticos, exatamente onde a demanda esta se formando.</w:t>
      </w:r>
    </w:p>
    <w:p>
      <w:pPr>
        <w:pStyle w:val="Heading1"/>
      </w:pPr>
      <w:r>
        <w:rPr>
          <w:color w:val="1F3A5F"/>
        </w:rPr>
        <w:t>5. Os datasets entregues</w:t>
      </w:r>
    </w:p>
    <w:p>
      <w:r>
        <w:t>Dois arquivos hex-level, prontos para consumo (486.850 hexagonos):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Conteudo</w:t>
            </w:r>
          </w:p>
        </w:tc>
      </w:tr>
      <w:tr>
        <w:tc>
          <w:tcPr>
            <w:tcW w:type="dxa" w:w="4320"/>
          </w:tcPr>
          <w:p>
            <w:r>
              <w:t>indice_densidade_construida_BR</w:t>
            </w:r>
          </w:p>
        </w:tc>
        <w:tc>
          <w:tcPr>
            <w:tcW w:type="dxa" w:w="4320"/>
          </w:tcPr>
          <w:p>
            <w:r>
              <w:t>Densidade urbana construida por hexagono: fracao construida 2016 e 2023, altura media das edificacoes e indice 0-100 (percentil nacional).</w:t>
            </w:r>
          </w:p>
        </w:tc>
      </w:tr>
      <w:tr>
        <w:tc>
          <w:tcPr>
            <w:tcW w:type="dxa" w:w="4320"/>
          </w:tcPr>
          <w:p>
            <w:r>
              <w:t>vetor_crescimento_hex_BR</w:t>
            </w:r>
          </w:p>
        </w:tc>
        <w:tc>
          <w:tcPr>
            <w:tcW w:type="dxa" w:w="4320"/>
          </w:tcPr>
          <w:p>
            <w:r>
              <w:t>Crescimento 2016-2023 por hexagono: variacao absoluta e %, classe (expansao forte / expansao / estavel / retracao) e o VETOR de crescimento — direcao em graus e magnitude, do gradiente local na malha H3.</w:t>
            </w:r>
          </w:p>
        </w:tc>
      </w:tr>
      <w:tr>
        <w:tc>
          <w:tcPr>
            <w:tcW w:type="dxa" w:w="4320"/>
          </w:tcPr>
          <w:p>
            <w:r>
              <w:t>candidatos_ocultos_BR</w:t>
            </w:r>
          </w:p>
        </w:tc>
        <w:tc>
          <w:tcPr>
            <w:tcW w:type="dxa" w:w="4320"/>
          </w:tcPr>
          <w:p>
            <w:r>
              <w:t>39.873 hexagonos onde o satelite ve construcao alta e o M1 pontua baixo.</w:t>
            </w:r>
          </w:p>
        </w:tc>
      </w:tr>
    </w:tbl>
    <w:p>
      <w:pPr>
        <w:pStyle w:val="Heading1"/>
      </w:pPr>
      <w:r>
        <w:rPr>
          <w:color w:val="1F3A5F"/>
        </w:rPr>
        <w:t>6. Validacao vs. baseline M1 — qual e' o ganho real</w:t>
      </w:r>
    </w:p>
    <w:p>
      <w:r>
        <w:t>A validacao classica seria medir quanto as features de satelite aumentam o R² na previsao do score do M1. Ao rodar o teste, encontramos algo que invalida essa pergunta:</w:t>
      </w:r>
    </w:p>
    <w:p>
      <w:r>
        <w:rPr>
          <w:b/>
          <w:color w:val="C8001E"/>
        </w:rPr>
        <w:t>O score do M1 e' uma formula deterministica de renda + populacao MUNICIPAIS: um RandomForest o recupera com R² = 1,000 usando so esses dois inputs, e ele e' constante dentro de cada municipio (3.890 de 3.890). Logo NENHUMA feature pode melhorar essa previsao — o ganho incremental e' zero por construcao matematica, nao por fraqueza do satelite.</w:t>
      </w:r>
    </w:p>
    <w:p>
      <w:r>
        <w:t>Apresentar 'delta R² = 0' como ausencia de valor seria estatisticamente desonesto. A pergunta correta e': o que o baseline NAO CONSEGUE VER? Medimos: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Medida</w:t>
            </w:r>
          </w:p>
        </w:tc>
      </w:tr>
      <w:tr>
        <w:tc>
          <w:tcPr>
            <w:tcW w:type="dxa" w:w="4320"/>
          </w:tcPr>
          <w:p>
            <w:r>
              <w:t>Variancia da densidade construida que e' INTRAMUNICIPAL</w:t>
            </w:r>
          </w:p>
        </w:tc>
        <w:tc>
          <w:tcPr>
            <w:tcW w:type="dxa" w:w="4320"/>
          </w:tcPr>
          <w:p>
            <w:r>
              <w:t>68,2%</w:t>
            </w:r>
          </w:p>
        </w:tc>
      </w:tr>
      <w:tr>
        <w:tc>
          <w:tcPr>
            <w:tcW w:type="dxa" w:w="4320"/>
          </w:tcPr>
          <w:p>
            <w:r>
              <w:t>Variancia do crescimento que e' INTRAMUNICIPAL</w:t>
            </w:r>
          </w:p>
        </w:tc>
        <w:tc>
          <w:tcPr>
            <w:tcW w:type="dxa" w:w="4320"/>
          </w:tcPr>
          <w:p>
            <w:r>
              <w:t>76,8%</w:t>
            </w:r>
          </w:p>
        </w:tc>
      </w:tr>
      <w:tr>
        <w:tc>
          <w:tcPr>
            <w:tcW w:type="dxa" w:w="4320"/>
          </w:tcPr>
          <w:p>
            <w:r>
              <w:t>Resolucao do baseline M1</w:t>
            </w:r>
          </w:p>
        </w:tc>
        <w:tc>
          <w:tcPr>
            <w:tcW w:type="dxa" w:w="4320"/>
          </w:tcPr>
          <w:p>
            <w:r>
              <w:t>3.892 municipios</w:t>
            </w:r>
          </w:p>
        </w:tc>
      </w:tr>
      <w:tr>
        <w:tc>
          <w:tcPr>
            <w:tcW w:type="dxa" w:w="4320"/>
          </w:tcPr>
          <w:p>
            <w:r>
              <w:t>Resolucao do satelite</w:t>
            </w:r>
          </w:p>
        </w:tc>
        <w:tc>
          <w:tcPr>
            <w:tcW w:type="dxa" w:w="4320"/>
          </w:tcPr>
          <w:p>
            <w:r>
              <w:t>486.850 hexagonos (125x)</w:t>
            </w:r>
          </w:p>
        </w:tc>
      </w:tr>
      <w:tr>
        <w:tc>
          <w:tcPr>
            <w:tcW w:type="dxa" w:w="4320"/>
          </w:tcPr>
          <w:p>
            <w:r>
              <w:t>Correlacao do crescimento com o score M1</w:t>
            </w:r>
          </w:p>
        </w:tc>
        <w:tc>
          <w:tcPr>
            <w:tcW w:type="dxa" w:w="4320"/>
          </w:tcPr>
          <w:p>
            <w:r>
              <w:t>0,18  (~97% do sinal e' novo)</w:t>
            </w:r>
          </w:p>
        </w:tc>
      </w:tr>
      <w:tr>
        <w:tc>
          <w:tcPr>
            <w:tcW w:type="dxa" w:w="4320"/>
          </w:tcPr>
          <w:p>
            <w:r>
              <w:t>Candidatos ocultos (satelite alto / M1 baixo)</w:t>
            </w:r>
          </w:p>
        </w:tc>
        <w:tc>
          <w:tcPr>
            <w:tcW w:type="dxa" w:w="4320"/>
          </w:tcPr>
          <w:p>
            <w:r>
              <w:t>39.873 hexes (8,19%)</w:t>
            </w:r>
          </w:p>
        </w:tc>
      </w:tr>
    </w:tbl>
    <w:p>
      <w:r>
        <w:t>A nuance honesta: em metropoles compactas e totalmente urbanizadas (Sao Paulo, Rio), o valor unico do M1 aproxima bem. A cegueira se concentra nos municipios de GRANDE AREA, que misturam nucleo urbano e vazio rural — exatamente onde fica a fronteira de expansao. Nesses, o M1 chega a atribuir percentil 74-91 a municipios cuja mediana real de hexagonos e' ~25.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26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resolu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26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 esquerda, metropoles compactas: o M1 aproxima bem. A direita, municipios de grande area: o satelite ve um espectro de 0 a 100 e o M1 atribui um unico numero.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722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diverg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39.873 candidatos ocultos. As faixas verticais sao o proprio sintoma: o score do M1 assume poucos valores distintos (um por municipio).</w:t>
      </w:r>
    </w:p>
    <w:p>
      <w:r>
        <w:t>Detalhamento completo em VALIDACAO_SATELITE_VS_M1.pdf.</w:t>
      </w:r>
    </w:p>
    <w:p>
      <w:pPr>
        <w:pStyle w:val="Heading1"/>
      </w:pPr>
      <w:r>
        <w:rPr>
          <w:color w:val="1F3A5F"/>
        </w:rPr>
        <w:t>7. Limites honestos</w:t>
      </w:r>
    </w:p>
    <w:p>
      <w:pPr>
        <w:pStyle w:val="ListBullet"/>
      </w:pPr>
      <w:r>
        <w:t>NAO e' validacao de resultado de negocio. Apenas 4 hexagonos da base M1 tem performance real de unidade Ultra registrada — cruzar com performance segue como o teste definitivo, e depende de dado que hoje nao existe na base. Esta e' uma validacao estrutural e de cobertura.</w:t>
      </w:r>
    </w:p>
    <w:p>
      <w:pPr>
        <w:pStyle w:val="ListBullet"/>
      </w:pPr>
      <w:r>
        <w:t>As correlacoes hex-level sao modestas por natureza (valores brutos por hexagono sao ruidosos e assimetricos). No agregado municipal, o alinhamento satelite-Censo e' r = 0,86.</w:t>
      </w:r>
    </w:p>
    <w:p>
      <w:pPr>
        <w:pStyle w:val="ListBullet"/>
      </w:pPr>
      <w:r>
        <w:t>A ACELERACAO usa a serie anual completa 2016-2023, ja processada para as 12 UFs. Ainda assim, e' um sinal fisico de construcao — direcional para expansao, nao um gatilho automatico de site.</w:t>
      </w:r>
    </w:p>
    <w:p>
      <w:pPr>
        <w:pStyle w:val="ListBullet"/>
      </w:pPr>
      <w:r>
        <w:t>O escopo e' o Brasil de mercado (12 UFs). Nao ha cobertura hex-level de satelite para o restante do pais — por decisao de custo/beneficio, nao por limite do metodo.</w:t>
      </w:r>
    </w:p>
    <w:p>
      <w:pPr>
        <w:pStyle w:val="Heading1"/>
      </w:pPr>
      <w:r>
        <w:rPr>
          <w:color w:val="1F3A5F"/>
        </w:rPr>
        <w:t>8. Conclusao e recomendacao</w:t>
      </w:r>
    </w:p>
    <w:p>
      <w:r>
        <w:rPr>
          <w:b/>
          <w:color w:val="1F3A5F"/>
        </w:rPr>
        <w:t>O satelite nao substitui o M1. Ele preenche os dois buracos estruturais do M1.</w:t>
      </w:r>
    </w:p>
    <w:p>
      <w:pPr>
        <w:pStyle w:val="ListBullet"/>
      </w:pPr>
      <w:r>
        <w:t>GANHO 1 — RESOLUCAO. O M1 opera em 3.892 municipios; o satelite em 486.850 hexagonos (125x). Isso recupera 68,2% da variacao de densidade e 76,8% da variacao de crescimento hoje invisiveis.</w:t>
      </w:r>
    </w:p>
    <w:p>
      <w:pPr>
        <w:pStyle w:val="ListBullet"/>
      </w:pPr>
      <w:r>
        <w:t>GANHO 2 — TEMPO. O baseline e' uma foto do Censo 2022. O satelite entrega trajetoria e aceleracao: 'onde a demanda ESTARA', e nao apenas onde ela ja esta.</w:t>
      </w:r>
    </w:p>
    <w:p>
      <w:pPr>
        <w:pStyle w:val="ListBullet"/>
      </w:pPr>
      <w:r>
        <w:t>GANHO 3 — FILA DE TRIAGEM. 39.873 candidatos ocultos ja identificados e entregues em CSV, prontos para verificacao.</w:t>
      </w:r>
    </w:p>
    <w:p>
      <w:pPr>
        <w:pStyle w:val="ListBullet"/>
      </w:pPr>
      <w:r>
        <w:t>RECOMENDACAO 1 — adotar as features de satelite como CAMADA COMPLEMENTAR do M1 (nao substituta): a densidade da a resolucao intramunicipal que falta; o crescimento adiciona um criterio de priorizacao que nenhuma fonte censitaria produz.</w:t>
      </w:r>
    </w:p>
    <w:p>
      <w:pPr>
        <w:pStyle w:val="ListBullet"/>
      </w:pPr>
      <w:r>
        <w:t>RECOMENDACAO 2 — usar a ACELERACAO (ja disponivel nas 12 UFs) como criterio de priorizacao da fila de expansao: comecar pelas bordas que ganham ritmo, nao pelos mercados que ja saturaram.</w:t>
      </w:r>
    </w:p>
    <w:p>
      <w:pPr>
        <w:pStyle w:val="ListBullet"/>
      </w:pPr>
      <w:r>
        <w:t>RECOMENDACAO 3 — cruzar a camada com o desempenho real das unidades Ultra. E' o unico teste que falta para transformar esta validacao estrutural em validacao de resultado.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