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Validacao — Features de Satelite vs. Baseline M1</w:t>
      </w:r>
    </w:p>
    <w:p>
      <w:r>
        <w:rPr>
          <w:b/>
        </w:rPr>
        <w:t>Indice de densidade urbana construida e vetor de crescimento por hexagono H3</w:t>
        <w:br/>
      </w:r>
      <w:r>
        <w:t>Brasil de mercado — 12 UFs · 486.850 hexagonos H3 res 7 (~5,16 km²)</w:t>
        <w:br/>
      </w:r>
      <w:r>
        <w:t>Autor: Juan Lima · Data: 2026-07-13 · Documento independente</w:t>
      </w:r>
    </w:p>
    <w:p>
      <w:pPr>
        <w:pStyle w:val="Heading1"/>
      </w:pPr>
      <w:r>
        <w:rPr>
          <w:color w:val="1F3A5F"/>
        </w:rPr>
        <w:t>Sumario executivo</w:t>
      </w:r>
    </w:p>
    <w:p>
      <w:r>
        <w:rPr>
          <w:b/>
          <w:color w:val="C8001E"/>
        </w:rPr>
        <w:t>O baseline atual do M1 e' CEGO DENTRO DO MUNICIPIO. O score que hoje prioriza sites e' constante para todos os hexagonos de um mesmo municipio — e' um numero municipal pintado no mapa. Medimos o custo disso: 68,2% da variacao da densidade construida e 76,8% da variacao do crescimento acontecem DENTRO dos municipios, ou seja, sao invisiveis a triagem atual.</w:t>
      </w:r>
    </w:p>
    <w:p>
      <w:r>
        <w:t>A nuance honesta: em metropoles compactas e totalmente urbanizadas (Sao Paulo, Rio), o valor unico do M1 aproxima bem. A cegueira se concentra nos municipios de GRANDE AREA, que misturam nucleo urbano e vazio rural — ou seja, exatamente onde esta a fronteira de expansao.</w:t>
      </w:r>
    </w:p>
    <w:p>
      <w:r>
        <w:rPr>
          <w:b/>
          <w:color w:val="1E7A33"/>
        </w:rPr>
        <w:t>O satelite entrega 125x mais resolucao (486.850 hexagonos contra 3.892 municipios) e uma dimensao que o Censo nao tem: TEMPO. O ganho nao e' marginal — e' uma camada de informacao inteira.</w:t>
      </w:r>
    </w:p>
    <w:p>
      <w:pPr>
        <w:pStyle w:val="Heading1"/>
      </w:pPr>
      <w:r>
        <w:rPr>
          <w:color w:val="1F3A5F"/>
        </w:rPr>
        <w:t>1. O que esta sendo entregue</w:t>
      </w:r>
    </w:p>
    <w:p>
      <w:r>
        <w:t>Dois datasets hex-level prontos para consumo (486.850 hexagonos, 12 UFs, H3 resolucao 7):</w:t>
      </w:r>
    </w:p>
    <w:p>
      <w:pPr>
        <w:pStyle w:val="ListBullet"/>
      </w:pPr>
      <w:r>
        <w:t>indice_densidade_construida_BR — densidade urbana construida por hexagono: fracao construida em 2016 e 2023, altura media e indice 0-100 (percentil nacional).</w:t>
      </w:r>
    </w:p>
    <w:p>
      <w:pPr>
        <w:pStyle w:val="ListBullet"/>
      </w:pPr>
      <w:r>
        <w:t>vetor_crescimento_hex_BR — crescimento 2016→2023 por hexagono: delta, variacao %, classe (expansao forte / expansao / estavel / retracao) e o VETOR de crescimento (direcao em graus e magnitude), obtido do gradiente local na malha H3.</w:t>
      </w:r>
    </w:p>
    <w:p>
      <w:pPr>
        <w:pStyle w:val="ListBullet"/>
      </w:pPr>
      <w:r>
        <w:t>candidatos_ocultos_BR — hexagonos onde o satelite ve construcao alta e o M1 pontua baixo.</w:t>
      </w:r>
    </w:p>
    <w:p>
      <w:r>
        <w:t>Escopo, com honestidade: 'todo o Brasil' aqui significa o Brasil DE MERCADO — os 12 estados que concentram a demanda (Sudeste e Sul completos, capitais/RMs do Nordeste, Centro-Oeste). Interior Norte/Nordeste e Amazonia ficaram de fora por ausencia de mercado, nao por limite tecnico: o pipeline roda em qualquer UF quando necessario. Custo de dados: zero.</w:t>
      </w:r>
    </w:p>
    <w:p>
      <w:pPr>
        <w:pStyle w:val="Heading1"/>
      </w:pPr>
      <w:r>
        <w:rPr>
          <w:color w:val="1F3A5F"/>
        </w:rPr>
        <w:t>2. Achado central — o baseline nao tem resolucao intramunicipal</w:t>
      </w:r>
    </w:p>
    <w:p>
      <w:r>
        <w:t>Ao tentar medir o ganho preditivo das features de satelite, encontramos primeiro uma propriedade estrutural do baseline que a lideranca precisa conhecer: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Medida</w:t>
            </w:r>
          </w:p>
        </w:tc>
      </w:tr>
      <w:tr>
        <w:tc>
          <w:tcPr>
            <w:tcW w:type="dxa" w:w="4320"/>
          </w:tcPr>
          <w:p>
            <w:r>
              <w:t>Municipios (com &gt;1 hex) cujo score M1 e' constante em TODOS os seus hexagonos</w:t>
            </w:r>
          </w:p>
        </w:tc>
        <w:tc>
          <w:tcPr>
            <w:tcW w:type="dxa" w:w="4320"/>
          </w:tcPr>
          <w:p>
            <w:r>
              <w:t>3.890 de 3.890 (100%)</w:t>
            </w:r>
          </w:p>
        </w:tc>
      </w:tr>
      <w:tr>
        <w:tc>
          <w:tcPr>
            <w:tcW w:type="dxa" w:w="4320"/>
          </w:tcPr>
          <w:p>
            <w:r>
              <w:t>R² para recuperar o score M1 usando SO renda + populacao (RandomForest, CV)</w:t>
            </w:r>
          </w:p>
        </w:tc>
        <w:tc>
          <w:tcPr>
            <w:tcW w:type="dxa" w:w="4320"/>
          </w:tcPr>
          <w:p>
            <w:r>
              <w:t>1,000  (ajuste perfeito)</w:t>
            </w:r>
          </w:p>
        </w:tc>
      </w:tr>
      <w:tr>
        <w:tc>
          <w:tcPr>
            <w:tcW w:type="dxa" w:w="4320"/>
          </w:tcPr>
          <w:p>
            <w:r>
              <w:t>Resolucao efetiva do baseline M1</w:t>
            </w:r>
          </w:p>
        </w:tc>
        <w:tc>
          <w:tcPr>
            <w:tcW w:type="dxa" w:w="4320"/>
          </w:tcPr>
          <w:p>
            <w:r>
              <w:t>3.892 unidades (municipios)</w:t>
            </w:r>
          </w:p>
        </w:tc>
      </w:tr>
      <w:tr>
        <w:tc>
          <w:tcPr>
            <w:tcW w:type="dxa" w:w="4320"/>
          </w:tcPr>
          <w:p>
            <w:r>
              <w:t>Resolucao do satelite</w:t>
            </w:r>
          </w:p>
        </w:tc>
        <w:tc>
          <w:tcPr>
            <w:tcW w:type="dxa" w:w="4320"/>
          </w:tcPr>
          <w:p>
            <w:r>
              <w:t>486.850 hexagonos  (125x)</w:t>
            </w:r>
          </w:p>
        </w:tc>
      </w:tr>
    </w:tbl>
    <w:p>
      <w:r>
        <w:t>Leitura: renda e populacao no M1 sao valores MUNICIPAIS, e o score e' uma formula deterministica deles. Portanto o score nao varia entre o centro e a periferia da mesma cidade, nem entre um bairro adensado e um hexagono rural vazio do mesmo municipio.</w:t>
      </w:r>
    </w:p>
    <w:p>
      <w:r>
        <w:rPr>
          <w:b/>
          <w:color w:val="C8001E"/>
        </w:rPr>
        <w:t>Custo medido dessa cegueira: 68,2% da variancia da densidade construida e 76,8% da variancia do crescimento sao INTRAMUNICIPAIS — estruturalmente irrepresentaveis pelo baseline atual.</w:t>
      </w:r>
    </w:p>
    <w:p>
      <w:r>
        <w:t>Onde essa cegueira doi (e onde nao doi) — uma nuance importante e honesta: em metropoles COMPACTAS e integralmente urbanizadas (Sao Paulo, Rio, Belo Horizonte), quase todo hexagono e' denso, e o valor unico do M1 e' uma aproximacao razoavel. O baseline colapsa nos municipios de GRANDE AREA, que misturam nucleo urbano e vazio rural — precisamente onde fica a fronteira de expansao. A dispersao interna cresce com a area do municipio: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Quartil de area do municipio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Municipios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Hexes (mediana)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Dispersao interna IQR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Amplitude p05-p95</w:t>
            </w:r>
          </w:p>
        </w:tc>
      </w:tr>
      <w:tr>
        <w:tc>
          <w:tcPr>
            <w:tcW w:type="dxa" w:w="1728"/>
          </w:tcPr>
          <w:p>
            <w:r>
              <w:t>Q1 (menor area)</w:t>
            </w:r>
          </w:p>
        </w:tc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14,6</w:t>
            </w:r>
          </w:p>
        </w:tc>
        <w:tc>
          <w:tcPr>
            <w:tcW w:type="dxa" w:w="1728"/>
          </w:tcPr>
          <w:p>
            <w:r>
              <w:t>40,7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22,9</w:t>
            </w:r>
          </w:p>
        </w:tc>
        <w:tc>
          <w:tcPr>
            <w:tcW w:type="dxa" w:w="1728"/>
          </w:tcPr>
          <w:p>
            <w:r>
              <w:t>59,3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93</w:t>
            </w:r>
          </w:p>
        </w:tc>
        <w:tc>
          <w:tcPr>
            <w:tcW w:type="dxa" w:w="1728"/>
          </w:tcPr>
          <w:p>
            <w:r>
              <w:t>28,5</w:t>
            </w:r>
          </w:p>
        </w:tc>
        <w:tc>
          <w:tcPr>
            <w:tcW w:type="dxa" w:w="1728"/>
          </w:tcPr>
          <w:p>
            <w:r>
              <w:t>68,9</w:t>
            </w:r>
          </w:p>
        </w:tc>
      </w:tr>
      <w:tr>
        <w:tc>
          <w:tcPr>
            <w:tcW w:type="dxa" w:w="1728"/>
          </w:tcPr>
          <w:p>
            <w:r>
              <w:t>Q4 (maior area)</w:t>
            </w:r>
          </w:p>
        </w:tc>
        <w:tc>
          <w:tcPr>
            <w:tcW w:type="dxa" w:w="1728"/>
          </w:tcPr>
          <w:p>
            <w:r>
              <w:t>973</w:t>
            </w:r>
          </w:p>
        </w:tc>
        <w:tc>
          <w:tcPr>
            <w:tcW w:type="dxa" w:w="1728"/>
          </w:tcPr>
          <w:p>
            <w:r>
              <w:t>235</w:t>
            </w:r>
          </w:p>
        </w:tc>
        <w:tc>
          <w:tcPr>
            <w:tcW w:type="dxa" w:w="1728"/>
          </w:tcPr>
          <w:p>
            <w:r>
              <w:t>32,8</w:t>
            </w:r>
          </w:p>
        </w:tc>
        <w:tc>
          <w:tcPr>
            <w:tcW w:type="dxa" w:w="1728"/>
          </w:tcPr>
          <w:p>
            <w:r>
              <w:t>71,9</w:t>
            </w:r>
          </w:p>
        </w:tc>
      </w:tr>
    </w:tbl>
    <w:p>
      <w:r>
        <w:t>Em numeros: nos municipios do quartil de maior area, metade dos hexagonos se espalha por mais de 30 pontos de percentil de densidade, e a amplitude tipica chega a ~69 pontos — e o M1 atribui UM unico numero a todos eles.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850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resoluca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5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 esquerda, metropoles compactas: o satelite ve densidade uniformemente alta e o valor unico do M1 aproxima bem. A direita, municipios de grande area: o satelite ve um espectro de 0 a 100, e o unico numero do M1 perde a informacao que importa.</w:t>
      </w:r>
    </w:p>
    <w:p>
      <w:pPr>
        <w:pStyle w:val="Heading1"/>
      </w:pPr>
      <w:r>
        <w:rPr>
          <w:color w:val="1F3A5F"/>
        </w:rPr>
        <w:t>3. Por que o teste classico de 'ganho de R²' e' vazio aqui</w:t>
      </w:r>
    </w:p>
    <w:p>
      <w:r>
        <w:t>A validacao usual seria medir quanto as features de satelite aumentam o R² na previsao do score do M1. Como o score e' uma formula fechada de renda+populacao (R² = 1,000), NENHUMA feature — de satelite ou de qualquer fonte — pode aumentar esse R². O ganho incremental e' zero por construcao matematica, nao por fraqueza do satelite. Apresentar 'ΔR² = 0' como ausencia de valor seria estatisticamente desonesto.</w:t>
      </w:r>
    </w:p>
    <w:p>
      <w:r>
        <w:rPr>
          <w:b/>
          <w:color w:val="1F3A5F"/>
        </w:rPr>
        <w:t>A pergunta correta nao e' 'o satelite preve melhor o score do M1?' — e sim 'o que o M1 nao consegue ver, e o satelite ve?'. Os testes 4 e 5 respondem isso.</w:t>
      </w:r>
    </w:p>
    <w:p>
      <w:pPr>
        <w:pStyle w:val="Heading1"/>
      </w:pPr>
      <w:r>
        <w:rPr>
          <w:color w:val="1F3A5F"/>
        </w:rPr>
        <w:t>4. Teste — o crescimento e' informacao nova (nao redundante)</w:t>
      </w:r>
    </w:p>
    <w:p>
      <w:r>
        <w:t>Se a feature de crescimento fosse redundante com o baseline, teria correlacao alta com o score do M1. Ela nao tem: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Relacao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Correlacao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Leitura</w:t>
            </w:r>
          </w:p>
        </w:tc>
      </w:tr>
      <w:tr>
        <w:tc>
          <w:tcPr>
            <w:tcW w:type="dxa" w:w="2880"/>
          </w:tcPr>
          <w:p>
            <w:r>
              <w:t>Crescimento (satelite) x score M1</w:t>
            </w:r>
          </w:p>
        </w:tc>
        <w:tc>
          <w:tcPr>
            <w:tcW w:type="dxa" w:w="2880"/>
          </w:tcPr>
          <w:p>
            <w:r>
              <w:t>0,180</w:t>
            </w:r>
          </w:p>
        </w:tc>
        <w:tc>
          <w:tcPr>
            <w:tcW w:type="dxa" w:w="2880"/>
          </w:tcPr>
          <w:p>
            <w:r>
              <w:t>Quase ortogonal — informacao nova</w:t>
            </w:r>
          </w:p>
        </w:tc>
      </w:tr>
      <w:tr>
        <w:tc>
          <w:tcPr>
            <w:tcW w:type="dxa" w:w="2880"/>
          </w:tcPr>
          <w:p>
            <w:r>
              <w:t>Crescimento (satelite) x populacao M1</w:t>
            </w:r>
          </w:p>
        </w:tc>
        <w:tc>
          <w:tcPr>
            <w:tcW w:type="dxa" w:w="2880"/>
          </w:tcPr>
          <w:p>
            <w:r>
              <w:t>0,216</w:t>
            </w:r>
          </w:p>
        </w:tc>
        <w:tc>
          <w:tcPr>
            <w:tcW w:type="dxa" w:w="2880"/>
          </w:tcPr>
          <w:p>
            <w:r>
              <w:t>Nao e' explicado pela populacao</w:t>
            </w:r>
          </w:p>
        </w:tc>
      </w:tr>
      <w:tr>
        <w:tc>
          <w:tcPr>
            <w:tcW w:type="dxa" w:w="2880"/>
          </w:tcPr>
          <w:p>
            <w:r>
              <w:t>Densidade (satelite) x populacao M1</w:t>
            </w:r>
          </w:p>
        </w:tc>
        <w:tc>
          <w:tcPr>
            <w:tcW w:type="dxa" w:w="2880"/>
          </w:tcPr>
          <w:p>
            <w:r>
              <w:t>0,351</w:t>
            </w:r>
          </w:p>
        </w:tc>
        <w:tc>
          <w:tcPr>
            <w:tcW w:type="dxa" w:w="2880"/>
          </w:tcPr>
          <w:p>
            <w:r>
              <w:t>Corrobora o sinal de mercado</w:t>
            </w:r>
          </w:p>
        </w:tc>
      </w:tr>
      <w:tr>
        <w:tc>
          <w:tcPr>
            <w:tcW w:type="dxa" w:w="2880"/>
          </w:tcPr>
          <w:p>
            <w:r>
              <w:t>Densidade (satelite) x score M1</w:t>
            </w:r>
          </w:p>
        </w:tc>
        <w:tc>
          <w:tcPr>
            <w:tcW w:type="dxa" w:w="2880"/>
          </w:tcPr>
          <w:p>
            <w:r>
              <w:t>0,180</w:t>
            </w:r>
          </w:p>
        </w:tc>
        <w:tc>
          <w:tcPr>
            <w:tcW w:type="dxa" w:w="2880"/>
          </w:tcPr>
          <w:p>
            <w:r>
              <w:t>Medida fisica independente</w:t>
            </w:r>
          </w:p>
        </w:tc>
      </w:tr>
      <w:tr>
        <w:tc>
          <w:tcPr>
            <w:tcW w:type="dxa" w:w="2880"/>
          </w:tcPr>
          <w:p>
            <w:r>
              <w:t>Crescimento x Densidade (satelite)</w:t>
            </w:r>
          </w:p>
        </w:tc>
        <w:tc>
          <w:tcPr>
            <w:tcW w:type="dxa" w:w="2880"/>
          </w:tcPr>
          <w:p>
            <w:r>
              <w:t>0,808</w:t>
            </w:r>
          </w:p>
        </w:tc>
        <w:tc>
          <w:tcPr>
            <w:tcW w:type="dxa" w:w="2880"/>
          </w:tcPr>
          <w:p>
            <w:r>
              <w:t>Coerencia interna do satelite</w:t>
            </w:r>
          </w:p>
        </w:tc>
      </w:tr>
    </w:tbl>
    <w:p>
      <w:r>
        <w:t>Com correlacao de apenas 0,18 contra o score, cerca de 97% da variacao do crescimento construido nao e' capturada pelo baseline. Essa e' a definicao operacional de ganho real: sinal que a triagem de hoje nao possui.</w:t>
      </w:r>
    </w:p>
    <w:p>
      <w:pPr>
        <w:pStyle w:val="Heading1"/>
      </w:pPr>
      <w:r>
        <w:rPr>
          <w:color w:val="1F3A5F"/>
        </w:rPr>
        <w:t>5. Teste — divergencia: a fila de candidatos que o M1 descarta</w:t>
      </w:r>
    </w:p>
    <w:p>
      <w:r>
        <w:rPr>
          <w:b/>
          <w:color w:val="C8001E"/>
        </w:rPr>
        <w:t>39.873 hexagonos (8,19% do total) estao entre os 20% mais densos pelo satelite enquanto o M1 os coloca na metade inferior do ranking.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UF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Candidatos ocultos</w:t>
            </w:r>
          </w:p>
        </w:tc>
      </w:tr>
      <w:tr>
        <w:tc>
          <w:tcPr>
            <w:tcW w:type="dxa" w:w="4320"/>
          </w:tcPr>
          <w:p>
            <w:r>
              <w:t>MG</w:t>
            </w:r>
          </w:p>
        </w:tc>
        <w:tc>
          <w:tcPr>
            <w:tcW w:type="dxa" w:w="4320"/>
          </w:tcPr>
          <w:p>
            <w:r>
              <w:t>8.198</w:t>
            </w:r>
          </w:p>
        </w:tc>
      </w:tr>
      <w:tr>
        <w:tc>
          <w:tcPr>
            <w:tcW w:type="dxa" w:w="4320"/>
          </w:tcPr>
          <w:p>
            <w:r>
              <w:t>RS</w:t>
            </w:r>
          </w:p>
        </w:tc>
        <w:tc>
          <w:tcPr>
            <w:tcW w:type="dxa" w:w="4320"/>
          </w:tcPr>
          <w:p>
            <w:r>
              <w:t>7.029</w:t>
            </w:r>
          </w:p>
        </w:tc>
      </w:tr>
      <w:tr>
        <w:tc>
          <w:tcPr>
            <w:tcW w:type="dxa" w:w="4320"/>
          </w:tcPr>
          <w:p>
            <w:r>
              <w:t>BA</w:t>
            </w:r>
          </w:p>
        </w:tc>
        <w:tc>
          <w:tcPr>
            <w:tcW w:type="dxa" w:w="4320"/>
          </w:tcPr>
          <w:p>
            <w:r>
              <w:t>4.914</w:t>
            </w:r>
          </w:p>
        </w:tc>
      </w:tr>
      <w:tr>
        <w:tc>
          <w:tcPr>
            <w:tcW w:type="dxa" w:w="4320"/>
          </w:tcPr>
          <w:p>
            <w:r>
              <w:t>PR</w:t>
            </w:r>
          </w:p>
        </w:tc>
        <w:tc>
          <w:tcPr>
            <w:tcW w:type="dxa" w:w="4320"/>
          </w:tcPr>
          <w:p>
            <w:r>
              <w:t>4.362</w:t>
            </w:r>
          </w:p>
        </w:tc>
      </w:tr>
      <w:tr>
        <w:tc>
          <w:tcPr>
            <w:tcW w:type="dxa" w:w="4320"/>
          </w:tcPr>
          <w:p>
            <w:r>
              <w:t>SC</w:t>
            </w:r>
          </w:p>
        </w:tc>
        <w:tc>
          <w:tcPr>
            <w:tcW w:type="dxa" w:w="4320"/>
          </w:tcPr>
          <w:p>
            <w:r>
              <w:t>4.315</w:t>
            </w:r>
          </w:p>
        </w:tc>
      </w:tr>
      <w:tr>
        <w:tc>
          <w:tcPr>
            <w:tcW w:type="dxa" w:w="4320"/>
          </w:tcPr>
          <w:p>
            <w:r>
              <w:t>SP</w:t>
            </w:r>
          </w:p>
        </w:tc>
        <w:tc>
          <w:tcPr>
            <w:tcW w:type="dxa" w:w="4320"/>
          </w:tcPr>
          <w:p>
            <w:r>
              <w:t>3.664</w:t>
            </w:r>
          </w:p>
        </w:tc>
      </w:tr>
      <w:tr>
        <w:tc>
          <w:tcPr>
            <w:tcW w:type="dxa" w:w="4320"/>
          </w:tcPr>
          <w:p>
            <w:r>
              <w:t>CE</w:t>
            </w:r>
          </w:p>
        </w:tc>
        <w:tc>
          <w:tcPr>
            <w:tcW w:type="dxa" w:w="4320"/>
          </w:tcPr>
          <w:p>
            <w:r>
              <w:t>2.703</w:t>
            </w:r>
          </w:p>
        </w:tc>
      </w:tr>
      <w:tr>
        <w:tc>
          <w:tcPr>
            <w:tcW w:type="dxa" w:w="4320"/>
          </w:tcPr>
          <w:p>
            <w:r>
              <w:t>PE</w:t>
            </w:r>
          </w:p>
        </w:tc>
        <w:tc>
          <w:tcPr>
            <w:tcW w:type="dxa" w:w="4320"/>
          </w:tcPr>
          <w:p>
            <w:r>
              <w:t>2.174</w:t>
            </w:r>
          </w:p>
        </w:tc>
      </w:tr>
      <w:tr>
        <w:tc>
          <w:tcPr>
            <w:tcW w:type="dxa" w:w="4320"/>
          </w:tcPr>
          <w:p>
            <w:r>
              <w:t>GO</w:t>
            </w:r>
          </w:p>
        </w:tc>
        <w:tc>
          <w:tcPr>
            <w:tcW w:type="dxa" w:w="4320"/>
          </w:tcPr>
          <w:p>
            <w:r>
              <w:t>1.213</w:t>
            </w:r>
          </w:p>
        </w:tc>
      </w:tr>
      <w:tr>
        <w:tc>
          <w:tcPr>
            <w:tcW w:type="dxa" w:w="4320"/>
          </w:tcPr>
          <w:p>
            <w:r>
              <w:t>ES</w:t>
            </w:r>
          </w:p>
        </w:tc>
        <w:tc>
          <w:tcPr>
            <w:tcW w:type="dxa" w:w="4320"/>
          </w:tcPr>
          <w:p>
            <w:r>
              <w:t>967</w:t>
            </w:r>
          </w:p>
        </w:tc>
      </w:tr>
      <w:tr>
        <w:tc>
          <w:tcPr>
            <w:tcW w:type="dxa" w:w="4320"/>
          </w:tcPr>
          <w:p>
            <w:r>
              <w:t>RJ</w:t>
            </w:r>
          </w:p>
        </w:tc>
        <w:tc>
          <w:tcPr>
            <w:tcW w:type="dxa" w:w="4320"/>
          </w:tcPr>
          <w:p>
            <w:r>
              <w:t>334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divergenc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Cada ponto e' um hexagono. As faixas verticais sao o proprio sintoma: o score M1 assume poucos valores distintos (um por municipio).</w:t>
      </w:r>
    </w:p>
    <w:p>
      <w:r>
        <w:t>Lista completa em candidatos_ocultos_BR.csv (hex_id, municipio, UF, densidade, score M1, divergencia).</w:t>
      </w:r>
    </w:p>
    <w:p>
      <w:pPr>
        <w:pStyle w:val="Heading1"/>
      </w:pPr>
      <w:r>
        <w:rPr>
          <w:color w:val="1F3A5F"/>
        </w:rPr>
        <w:t>6. Cobertura por estado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UF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Hexagonos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Densidade media 2023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hexes que cresceram</w:t>
            </w:r>
          </w:p>
        </w:tc>
      </w:tr>
      <w:tr>
        <w:tc>
          <w:tcPr>
            <w:tcW w:type="dxa" w:w="2160"/>
          </w:tcPr>
          <w:p>
            <w:r>
              <w:t>MG</w:t>
            </w:r>
          </w:p>
        </w:tc>
        <w:tc>
          <w:tcPr>
            <w:tcW w:type="dxa" w:w="2160"/>
          </w:tcPr>
          <w:p>
            <w:r>
              <w:t>104.078</w:t>
            </w:r>
          </w:p>
        </w:tc>
        <w:tc>
          <w:tcPr>
            <w:tcW w:type="dxa" w:w="2160"/>
          </w:tcPr>
          <w:p>
            <w:r>
              <w:t>0,0029</w:t>
            </w:r>
          </w:p>
        </w:tc>
        <w:tc>
          <w:tcPr>
            <w:tcW w:type="dxa" w:w="2160"/>
          </w:tcPr>
          <w:p>
            <w:r>
              <w:t>72,8%</w:t>
            </w:r>
          </w:p>
        </w:tc>
      </w:tr>
      <w:tr>
        <w:tc>
          <w:tcPr>
            <w:tcW w:type="dxa" w:w="2160"/>
          </w:tcPr>
          <w:p>
            <w:r>
              <w:t>BA</w:t>
            </w:r>
          </w:p>
        </w:tc>
        <w:tc>
          <w:tcPr>
            <w:tcW w:type="dxa" w:w="2160"/>
          </w:tcPr>
          <w:p>
            <w:r>
              <w:t>94.279</w:t>
            </w:r>
          </w:p>
        </w:tc>
        <w:tc>
          <w:tcPr>
            <w:tcW w:type="dxa" w:w="2160"/>
          </w:tcPr>
          <w:p>
            <w:r>
              <w:t>0,0016</w:t>
            </w:r>
          </w:p>
        </w:tc>
        <w:tc>
          <w:tcPr>
            <w:tcW w:type="dxa" w:w="2160"/>
          </w:tcPr>
          <w:p>
            <w:r>
              <w:t>74,5%</w:t>
            </w:r>
          </w:p>
        </w:tc>
      </w:tr>
      <w:tr>
        <w:tc>
          <w:tcPr>
            <w:tcW w:type="dxa" w:w="2160"/>
          </w:tcPr>
          <w:p>
            <w:r>
              <w:t>RS</w:t>
            </w:r>
          </w:p>
        </w:tc>
        <w:tc>
          <w:tcPr>
            <w:tcW w:type="dxa" w:w="2160"/>
          </w:tcPr>
          <w:p>
            <w:r>
              <w:t>62.410</w:t>
            </w:r>
          </w:p>
        </w:tc>
        <w:tc>
          <w:tcPr>
            <w:tcW w:type="dxa" w:w="2160"/>
          </w:tcPr>
          <w:p>
            <w:r>
              <w:t>0,0037</w:t>
            </w:r>
          </w:p>
        </w:tc>
        <w:tc>
          <w:tcPr>
            <w:tcW w:type="dxa" w:w="2160"/>
          </w:tcPr>
          <w:p>
            <w:r>
              <w:t>64,2%</w:t>
            </w:r>
          </w:p>
        </w:tc>
      </w:tr>
      <w:tr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59.954</w:t>
            </w:r>
          </w:p>
        </w:tc>
        <w:tc>
          <w:tcPr>
            <w:tcW w:type="dxa" w:w="2160"/>
          </w:tcPr>
          <w:p>
            <w:r>
              <w:t>0,0019</w:t>
            </w:r>
          </w:p>
        </w:tc>
        <w:tc>
          <w:tcPr>
            <w:tcW w:type="dxa" w:w="2160"/>
          </w:tcPr>
          <w:p>
            <w:r>
              <w:t>67,3%</w:t>
            </w:r>
          </w:p>
        </w:tc>
      </w:tr>
      <w:tr>
        <w:tc>
          <w:tcPr>
            <w:tcW w:type="dxa" w:w="2160"/>
          </w:tcPr>
          <w:p>
            <w:r>
              <w:t>SP</w:t>
            </w:r>
          </w:p>
        </w:tc>
        <w:tc>
          <w:tcPr>
            <w:tcW w:type="dxa" w:w="2160"/>
          </w:tcPr>
          <w:p>
            <w:r>
              <w:t>47.389</w:t>
            </w:r>
          </w:p>
        </w:tc>
        <w:tc>
          <w:tcPr>
            <w:tcW w:type="dxa" w:w="2160"/>
          </w:tcPr>
          <w:p>
            <w:r>
              <w:t>0,0109</w:t>
            </w:r>
          </w:p>
        </w:tc>
        <w:tc>
          <w:tcPr>
            <w:tcW w:type="dxa" w:w="2160"/>
          </w:tcPr>
          <w:p>
            <w:r>
              <w:t>64,0%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40.481</w:t>
            </w:r>
          </w:p>
        </w:tc>
        <w:tc>
          <w:tcPr>
            <w:tcW w:type="dxa" w:w="2160"/>
          </w:tcPr>
          <w:p>
            <w:r>
              <w:t>0,0053</w:t>
            </w:r>
          </w:p>
        </w:tc>
        <w:tc>
          <w:tcPr>
            <w:tcW w:type="dxa" w:w="2160"/>
          </w:tcPr>
          <w:p>
            <w:r>
              <w:t>68,4%</w:t>
            </w:r>
          </w:p>
        </w:tc>
      </w:tr>
      <w:tr>
        <w:tc>
          <w:tcPr>
            <w:tcW w:type="dxa" w:w="2160"/>
          </w:tcPr>
          <w:p>
            <w:r>
              <w:t>CE</w:t>
            </w:r>
          </w:p>
        </w:tc>
        <w:tc>
          <w:tcPr>
            <w:tcW w:type="dxa" w:w="2160"/>
          </w:tcPr>
          <w:p>
            <w:r>
              <w:t>24.192</w:t>
            </w:r>
          </w:p>
        </w:tc>
        <w:tc>
          <w:tcPr>
            <w:tcW w:type="dxa" w:w="2160"/>
          </w:tcPr>
          <w:p>
            <w:r>
              <w:t>0,0036</w:t>
            </w:r>
          </w:p>
        </w:tc>
        <w:tc>
          <w:tcPr>
            <w:tcW w:type="dxa" w:w="2160"/>
          </w:tcPr>
          <w:p>
            <w:r>
              <w:t>71,5%</w:t>
            </w:r>
          </w:p>
        </w:tc>
      </w:tr>
      <w:tr>
        <w:tc>
          <w:tcPr>
            <w:tcW w:type="dxa" w:w="2160"/>
          </w:tcPr>
          <w:p>
            <w:r>
              <w:t>SC</w:t>
            </w:r>
          </w:p>
        </w:tc>
        <w:tc>
          <w:tcPr>
            <w:tcW w:type="dxa" w:w="2160"/>
          </w:tcPr>
          <w:p>
            <w:r>
              <w:t>20.373</w:t>
            </w:r>
          </w:p>
        </w:tc>
        <w:tc>
          <w:tcPr>
            <w:tcW w:type="dxa" w:w="2160"/>
          </w:tcPr>
          <w:p>
            <w:r>
              <w:t>0,0078</w:t>
            </w:r>
          </w:p>
        </w:tc>
        <w:tc>
          <w:tcPr>
            <w:tcW w:type="dxa" w:w="2160"/>
          </w:tcPr>
          <w:p>
            <w:r>
              <w:t>79,7%</w:t>
            </w:r>
          </w:p>
        </w:tc>
      </w:tr>
      <w:tr>
        <w:tc>
          <w:tcPr>
            <w:tcW w:type="dxa" w:w="2160"/>
          </w:tcPr>
          <w:p>
            <w:r>
              <w:t>PE</w:t>
            </w:r>
          </w:p>
        </w:tc>
        <w:tc>
          <w:tcPr>
            <w:tcW w:type="dxa" w:w="2160"/>
          </w:tcPr>
          <w:p>
            <w:r>
              <w:t>16.085</w:t>
            </w:r>
          </w:p>
        </w:tc>
        <w:tc>
          <w:tcPr>
            <w:tcW w:type="dxa" w:w="2160"/>
          </w:tcPr>
          <w:p>
            <w:r>
              <w:t>0,0048</w:t>
            </w:r>
          </w:p>
        </w:tc>
        <w:tc>
          <w:tcPr>
            <w:tcW w:type="dxa" w:w="2160"/>
          </w:tcPr>
          <w:p>
            <w:r>
              <w:t>79,7%</w:t>
            </w:r>
          </w:p>
        </w:tc>
      </w:tr>
      <w:tr>
        <w:tc>
          <w:tcPr>
            <w:tcW w:type="dxa" w:w="2160"/>
          </w:tcPr>
          <w:p>
            <w:r>
              <w:t>ES</w:t>
            </w:r>
          </w:p>
        </w:tc>
        <w:tc>
          <w:tcPr>
            <w:tcW w:type="dxa" w:w="2160"/>
          </w:tcPr>
          <w:p>
            <w:r>
              <w:t>8.324</w:t>
            </w:r>
          </w:p>
        </w:tc>
        <w:tc>
          <w:tcPr>
            <w:tcW w:type="dxa" w:w="2160"/>
          </w:tcPr>
          <w:p>
            <w:r>
              <w:t>0,0055</w:t>
            </w:r>
          </w:p>
        </w:tc>
        <w:tc>
          <w:tcPr>
            <w:tcW w:type="dxa" w:w="2160"/>
          </w:tcPr>
          <w:p>
            <w:r>
              <w:t>92,3%</w:t>
            </w:r>
          </w:p>
        </w:tc>
      </w:tr>
      <w:tr>
        <w:tc>
          <w:tcPr>
            <w:tcW w:type="dxa" w:w="2160"/>
          </w:tcPr>
          <w:p>
            <w:r>
              <w:t>RJ</w:t>
            </w:r>
          </w:p>
        </w:tc>
        <w:tc>
          <w:tcPr>
            <w:tcW w:type="dxa" w:w="2160"/>
          </w:tcPr>
          <w:p>
            <w:r>
              <w:t>8.286</w:t>
            </w:r>
          </w:p>
        </w:tc>
        <w:tc>
          <w:tcPr>
            <w:tcW w:type="dxa" w:w="2160"/>
          </w:tcPr>
          <w:p>
            <w:r>
              <w:t>0,0162</w:t>
            </w:r>
          </w:p>
        </w:tc>
        <w:tc>
          <w:tcPr>
            <w:tcW w:type="dxa" w:w="2160"/>
          </w:tcPr>
          <w:p>
            <w:r>
              <w:t>74,0%</w:t>
            </w:r>
          </w:p>
        </w:tc>
      </w:tr>
      <w:tr>
        <w:tc>
          <w:tcPr>
            <w:tcW w:type="dxa" w:w="2160"/>
          </w:tcPr>
          <w:p>
            <w:r>
              <w:t>DF</w:t>
            </w:r>
          </w:p>
        </w:tc>
        <w:tc>
          <w:tcPr>
            <w:tcW w:type="dxa" w:w="2160"/>
          </w:tcPr>
          <w:p>
            <w:r>
              <w:t>999</w:t>
            </w:r>
          </w:p>
        </w:tc>
        <w:tc>
          <w:tcPr>
            <w:tcW w:type="dxa" w:w="2160"/>
          </w:tcPr>
          <w:p>
            <w:r>
              <w:t>0,0219</w:t>
            </w:r>
          </w:p>
        </w:tc>
        <w:tc>
          <w:tcPr>
            <w:tcW w:type="dxa" w:w="2160"/>
          </w:tcPr>
          <w:p>
            <w:r>
              <w:t>76,2%</w:t>
            </w:r>
          </w:p>
        </w:tc>
      </w:tr>
    </w:tbl>
    <w:p>
      <w:pPr>
        <w:pStyle w:val="Heading1"/>
      </w:pPr>
      <w:r>
        <w:rPr>
          <w:color w:val="1F3A5F"/>
        </w:rPr>
        <w:t>7. Limites honestos desta validacao</w:t>
      </w:r>
    </w:p>
    <w:p>
      <w:pPr>
        <w:pStyle w:val="ListBullet"/>
      </w:pPr>
      <w:r>
        <w:t>Nao foi possivel validar contra o desempenho real das unidades da Ultra: apenas 4 hexagonos da base M1 tem performance registrada. Esta e' uma validacao ESTRUTURAL e de COBERTURA — nao uma validacao de resultado de negocio. Cruzar com performance real segue como o teste definitivo, e depende de dado que hoje nao existe na base.</w:t>
      </w:r>
    </w:p>
    <w:p>
      <w:pPr>
        <w:pStyle w:val="ListBullet"/>
      </w:pPr>
      <w:r>
        <w:t>As correlacoes hex-level sao modestas por natureza (valores brutos por hexagono sao ruidosos e assimetricos). No agregado municipal, o alinhamento satelite-Censo ja foi validado em r = 0,86 (3.892 municipios) e r = 0,96 em Goiania — vide Relatorio Nacional.</w:t>
      </w:r>
    </w:p>
    <w:p>
      <w:pPr>
        <w:pStyle w:val="ListBullet"/>
      </w:pPr>
      <w:r>
        <w:t>A ACELERACAO (crescimento recente vs inicial) so esta medida onde existe a serie de 8 anos (RM de Goiania + DF). A aquisicao temporal das demais UFs esta pendente — e' o proximo passo e nao bloqueia nada do que esta entregue aqui.</w:t>
      </w:r>
    </w:p>
    <w:p>
      <w:pPr>
        <w:pStyle w:val="Heading1"/>
      </w:pPr>
      <w:r>
        <w:rPr>
          <w:color w:val="1F3A5F"/>
        </w:rPr>
        <w:t>8. Conclusao — qual e' o ganho real</w:t>
      </w:r>
    </w:p>
    <w:p>
      <w:r>
        <w:rPr>
          <w:b/>
          <w:color w:val="1F3A5F"/>
        </w:rPr>
        <w:t>O satelite nao substitui o M1: ele preenche os dois buracos estruturais do M1.</w:t>
      </w:r>
    </w:p>
    <w:p>
      <w:pPr>
        <w:pStyle w:val="ListBullet"/>
      </w:pPr>
      <w:r>
        <w:t>GANHO 1 — RESOLUCAO. O M1 opera em 3.892 municipios; o satelite, em 486.850 hexagonos (125x). Isso recupera 68,2% da variacao de densidade e 76,8% da variacao de crescimento que hoje sao invisiveis.</w:t>
      </w:r>
    </w:p>
    <w:p>
      <w:pPr>
        <w:pStyle w:val="ListBullet"/>
      </w:pPr>
      <w:r>
        <w:t>GANHO 2 — TEMPO. O baseline e' uma foto do Censo 2022. O satelite entrega trajetoria 2016→2023 por hexagono, com correlacao de apenas 0,18 com o score atual: sinal novo, nao redundante.</w:t>
      </w:r>
    </w:p>
    <w:p>
      <w:pPr>
        <w:pStyle w:val="ListBullet"/>
      </w:pPr>
      <w:r>
        <w:t>GANHO 3 — FILA DE TRIAGEM. 39.873 candidatos ocultos ja identificados e entregues em CSV, prontos para verificacao.</w:t>
      </w:r>
    </w:p>
    <w:p>
      <w:pPr>
        <w:pStyle w:val="ListBullet"/>
      </w:pPr>
      <w:r>
        <w:t>RECOMENDACAO — adotar as features de satelite como CAMADA COMPLEMENTAR do M1 (nao substituta): a densidade da a resolucao intramunicipal que falta, e o crescimento adiciona um criterio de priorizacao que nenhuma fonte censitaria produz. Passo seguinte: concluir a aquisicao temporal (2017-2022) para levar a ACELERACAO — 'onde a demanda ESTARA' — as 12 UFs.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