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6D869" w14:textId="0E88A7EE" w:rsidR="00A270F6" w:rsidRPr="004541AA" w:rsidRDefault="00DF14AF" w:rsidP="004541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41AA">
        <w:rPr>
          <w:rFonts w:ascii="Times New Roman" w:hAnsi="Times New Roman" w:cs="Times New Roman"/>
          <w:sz w:val="24"/>
          <w:szCs w:val="24"/>
        </w:rPr>
        <w:t>Katherine Carter</w:t>
      </w:r>
    </w:p>
    <w:p w14:paraId="0E26DC5F" w14:textId="67781FA5" w:rsidR="00DF14AF" w:rsidRPr="004541AA" w:rsidRDefault="00DF14AF" w:rsidP="004541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41AA">
        <w:rPr>
          <w:rFonts w:ascii="Times New Roman" w:hAnsi="Times New Roman" w:cs="Times New Roman"/>
          <w:sz w:val="24"/>
          <w:szCs w:val="24"/>
        </w:rPr>
        <w:t>Dr. M</w:t>
      </w:r>
      <w:r w:rsidR="001C0A0B" w:rsidRPr="004541AA">
        <w:rPr>
          <w:rFonts w:ascii="Times New Roman" w:hAnsi="Times New Roman" w:cs="Times New Roman"/>
          <w:sz w:val="24"/>
          <w:szCs w:val="24"/>
        </w:rPr>
        <w:t>e</w:t>
      </w:r>
      <w:r w:rsidRPr="004541AA">
        <w:rPr>
          <w:rFonts w:ascii="Times New Roman" w:hAnsi="Times New Roman" w:cs="Times New Roman"/>
          <w:sz w:val="24"/>
          <w:szCs w:val="24"/>
        </w:rPr>
        <w:t>yers</w:t>
      </w:r>
    </w:p>
    <w:p w14:paraId="0BF089B0" w14:textId="46ABCB01" w:rsidR="00D3542B" w:rsidRPr="004541AA" w:rsidRDefault="00D3542B" w:rsidP="004541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41AA">
        <w:rPr>
          <w:rFonts w:ascii="Times New Roman" w:hAnsi="Times New Roman" w:cs="Times New Roman"/>
          <w:sz w:val="24"/>
          <w:szCs w:val="24"/>
        </w:rPr>
        <w:t>January 20</w:t>
      </w:r>
      <w:r w:rsidRPr="004541A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541AA">
        <w:rPr>
          <w:rFonts w:ascii="Times New Roman" w:hAnsi="Times New Roman" w:cs="Times New Roman"/>
          <w:sz w:val="24"/>
          <w:szCs w:val="24"/>
        </w:rPr>
        <w:t>, 2022</w:t>
      </w:r>
    </w:p>
    <w:p w14:paraId="40469B61" w14:textId="22E631EC" w:rsidR="004B21AF" w:rsidRPr="004541AA" w:rsidRDefault="00F839A4" w:rsidP="004541A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41AA">
        <w:rPr>
          <w:rFonts w:ascii="Times New Roman" w:hAnsi="Times New Roman" w:cs="Times New Roman"/>
          <w:sz w:val="24"/>
          <w:szCs w:val="24"/>
        </w:rPr>
        <w:t xml:space="preserve">Module </w:t>
      </w:r>
      <w:r w:rsidR="006458D6" w:rsidRPr="004541AA">
        <w:rPr>
          <w:rFonts w:ascii="Times New Roman" w:hAnsi="Times New Roman" w:cs="Times New Roman"/>
          <w:sz w:val="24"/>
          <w:szCs w:val="24"/>
        </w:rPr>
        <w:t>Two</w:t>
      </w:r>
      <w:r w:rsidRPr="004541AA">
        <w:rPr>
          <w:rFonts w:ascii="Times New Roman" w:hAnsi="Times New Roman" w:cs="Times New Roman"/>
          <w:sz w:val="24"/>
          <w:szCs w:val="24"/>
        </w:rPr>
        <w:t xml:space="preserve"> Essay</w:t>
      </w:r>
    </w:p>
    <w:p w14:paraId="03EF3BE9" w14:textId="7BFCB155" w:rsidR="00770AEB" w:rsidRPr="004541AA" w:rsidRDefault="00A82D65" w:rsidP="004541A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541AA">
        <w:rPr>
          <w:rFonts w:ascii="Times New Roman" w:hAnsi="Times New Roman" w:cs="Times New Roman"/>
          <w:sz w:val="24"/>
          <w:szCs w:val="24"/>
        </w:rPr>
        <w:t>Homosexuality is a highly debated subject within Christianity</w:t>
      </w:r>
      <w:r w:rsidR="0081513B" w:rsidRPr="004541AA">
        <w:rPr>
          <w:rFonts w:ascii="Times New Roman" w:hAnsi="Times New Roman" w:cs="Times New Roman"/>
          <w:sz w:val="24"/>
          <w:szCs w:val="24"/>
        </w:rPr>
        <w:t xml:space="preserve">. Throughout history the </w:t>
      </w:r>
      <w:r w:rsidR="004541AA" w:rsidRPr="004541AA">
        <w:rPr>
          <w:rFonts w:ascii="Times New Roman" w:hAnsi="Times New Roman" w:cs="Times New Roman"/>
          <w:sz w:val="24"/>
          <w:szCs w:val="24"/>
        </w:rPr>
        <w:t xml:space="preserve">societal </w:t>
      </w:r>
      <w:r w:rsidR="0081513B" w:rsidRPr="004541AA">
        <w:rPr>
          <w:rFonts w:ascii="Times New Roman" w:hAnsi="Times New Roman" w:cs="Times New Roman"/>
          <w:sz w:val="24"/>
          <w:szCs w:val="24"/>
        </w:rPr>
        <w:t>idea of sex, gender, and sexual relations changes and</w:t>
      </w:r>
      <w:r w:rsidR="004541AA" w:rsidRPr="004541AA">
        <w:rPr>
          <w:rFonts w:ascii="Times New Roman" w:hAnsi="Times New Roman" w:cs="Times New Roman"/>
          <w:sz w:val="24"/>
          <w:szCs w:val="24"/>
        </w:rPr>
        <w:t xml:space="preserve"> these societal changes will affect religious beliefs and doctrine.</w:t>
      </w:r>
      <w:r w:rsidR="0081513B" w:rsidRPr="004541AA">
        <w:rPr>
          <w:rFonts w:ascii="Times New Roman" w:hAnsi="Times New Roman" w:cs="Times New Roman"/>
          <w:sz w:val="24"/>
          <w:szCs w:val="24"/>
        </w:rPr>
        <w:t xml:space="preserve">  There is a </w:t>
      </w:r>
      <w:r w:rsidR="004541AA" w:rsidRPr="004541AA">
        <w:rPr>
          <w:rFonts w:ascii="Times New Roman" w:hAnsi="Times New Roman" w:cs="Times New Roman"/>
          <w:sz w:val="24"/>
          <w:szCs w:val="24"/>
        </w:rPr>
        <w:t>lot of</w:t>
      </w:r>
      <w:r w:rsidR="001F61AE" w:rsidRPr="004541AA">
        <w:rPr>
          <w:rFonts w:ascii="Times New Roman" w:hAnsi="Times New Roman" w:cs="Times New Roman"/>
          <w:sz w:val="24"/>
          <w:szCs w:val="24"/>
        </w:rPr>
        <w:t xml:space="preserve"> discourse on interpretation</w:t>
      </w:r>
      <w:r w:rsidR="00464CF9" w:rsidRPr="004541AA">
        <w:rPr>
          <w:rFonts w:ascii="Times New Roman" w:hAnsi="Times New Roman" w:cs="Times New Roman"/>
          <w:sz w:val="24"/>
          <w:szCs w:val="24"/>
        </w:rPr>
        <w:t xml:space="preserve">, translation, and context. There have been lots of translations of the bible and debate on what </w:t>
      </w:r>
      <w:r w:rsidR="007F4EC0" w:rsidRPr="004541AA">
        <w:rPr>
          <w:rFonts w:ascii="Times New Roman" w:hAnsi="Times New Roman" w:cs="Times New Roman"/>
          <w:sz w:val="24"/>
          <w:szCs w:val="24"/>
        </w:rPr>
        <w:t>bible should be accepted</w:t>
      </w:r>
      <w:r w:rsidR="00D26364" w:rsidRPr="004541AA">
        <w:rPr>
          <w:rFonts w:ascii="Times New Roman" w:hAnsi="Times New Roman" w:cs="Times New Roman"/>
          <w:sz w:val="24"/>
          <w:szCs w:val="24"/>
        </w:rPr>
        <w:t xml:space="preserve"> and if there is a certain way information must be presented.</w:t>
      </w:r>
      <w:r w:rsidR="0045441F" w:rsidRPr="004541AA">
        <w:rPr>
          <w:rFonts w:ascii="Times New Roman" w:hAnsi="Times New Roman" w:cs="Times New Roman"/>
          <w:sz w:val="24"/>
          <w:szCs w:val="24"/>
        </w:rPr>
        <w:t xml:space="preserve"> The bible should be written in a way that people can understand and interpret.</w:t>
      </w:r>
      <w:r w:rsidR="00D26364" w:rsidRPr="004541AA">
        <w:rPr>
          <w:rFonts w:ascii="Times New Roman" w:hAnsi="Times New Roman" w:cs="Times New Roman"/>
          <w:sz w:val="24"/>
          <w:szCs w:val="24"/>
        </w:rPr>
        <w:t xml:space="preserve"> </w:t>
      </w:r>
      <w:r w:rsidR="00871356" w:rsidRPr="004541AA">
        <w:rPr>
          <w:rFonts w:ascii="Times New Roman" w:hAnsi="Times New Roman" w:cs="Times New Roman"/>
          <w:sz w:val="24"/>
          <w:szCs w:val="24"/>
        </w:rPr>
        <w:t xml:space="preserve">Within the </w:t>
      </w:r>
      <w:r w:rsidR="0045441F" w:rsidRPr="004541AA">
        <w:rPr>
          <w:rFonts w:ascii="Times New Roman" w:hAnsi="Times New Roman" w:cs="Times New Roman"/>
          <w:sz w:val="24"/>
          <w:szCs w:val="24"/>
        </w:rPr>
        <w:t>discussion</w:t>
      </w:r>
      <w:r w:rsidR="00871356" w:rsidRPr="004541AA">
        <w:rPr>
          <w:rFonts w:ascii="Times New Roman" w:hAnsi="Times New Roman" w:cs="Times New Roman"/>
          <w:sz w:val="24"/>
          <w:szCs w:val="24"/>
        </w:rPr>
        <w:t xml:space="preserve"> of context, early Christians came to</w:t>
      </w:r>
      <w:r w:rsidR="001D698C" w:rsidRPr="004541AA">
        <w:rPr>
          <w:rFonts w:ascii="Times New Roman" w:hAnsi="Times New Roman" w:cs="Times New Roman"/>
          <w:sz w:val="24"/>
          <w:szCs w:val="24"/>
        </w:rPr>
        <w:t xml:space="preserve"> their view of homosexuality not as a religio</w:t>
      </w:r>
      <w:r w:rsidR="00CF2512">
        <w:rPr>
          <w:rFonts w:ascii="Times New Roman" w:hAnsi="Times New Roman" w:cs="Times New Roman"/>
          <w:sz w:val="24"/>
          <w:szCs w:val="24"/>
        </w:rPr>
        <w:t>us decision</w:t>
      </w:r>
      <w:r w:rsidR="001D698C" w:rsidRPr="004541AA">
        <w:rPr>
          <w:rFonts w:ascii="Times New Roman" w:hAnsi="Times New Roman" w:cs="Times New Roman"/>
          <w:sz w:val="24"/>
          <w:szCs w:val="24"/>
        </w:rPr>
        <w:t xml:space="preserve"> but</w:t>
      </w:r>
      <w:r w:rsidR="00C42F0B" w:rsidRPr="004541AA">
        <w:rPr>
          <w:rFonts w:ascii="Times New Roman" w:hAnsi="Times New Roman" w:cs="Times New Roman"/>
          <w:sz w:val="24"/>
          <w:szCs w:val="24"/>
        </w:rPr>
        <w:t xml:space="preserve"> rather as a culture and on the basis of </w:t>
      </w:r>
      <w:r w:rsidR="00894597" w:rsidRPr="004541AA">
        <w:rPr>
          <w:rFonts w:ascii="Times New Roman" w:hAnsi="Times New Roman" w:cs="Times New Roman"/>
          <w:sz w:val="24"/>
          <w:szCs w:val="24"/>
        </w:rPr>
        <w:t>sexual sin as a whole.</w:t>
      </w:r>
    </w:p>
    <w:p w14:paraId="4633A473" w14:textId="6550FDCC" w:rsidR="00EC1F52" w:rsidRPr="004541AA" w:rsidRDefault="005E4A57" w:rsidP="004541A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541AA">
        <w:rPr>
          <w:rFonts w:ascii="Times New Roman" w:hAnsi="Times New Roman" w:cs="Times New Roman"/>
          <w:sz w:val="24"/>
          <w:szCs w:val="24"/>
        </w:rPr>
        <w:t>Most disputes of biblical translations come from</w:t>
      </w:r>
      <w:r w:rsidR="005A646C" w:rsidRPr="004541AA">
        <w:rPr>
          <w:rFonts w:ascii="Times New Roman" w:hAnsi="Times New Roman" w:cs="Times New Roman"/>
          <w:sz w:val="24"/>
          <w:szCs w:val="24"/>
        </w:rPr>
        <w:t xml:space="preserve"> inaccuracies and if there should be emphasis of literalism or meaning.</w:t>
      </w:r>
      <w:r w:rsidR="000A7075" w:rsidRPr="004541AA">
        <w:rPr>
          <w:rFonts w:ascii="Times New Roman" w:hAnsi="Times New Roman" w:cs="Times New Roman"/>
          <w:sz w:val="24"/>
          <w:szCs w:val="24"/>
        </w:rPr>
        <w:t xml:space="preserve"> </w:t>
      </w:r>
      <w:r w:rsidR="00F7316D" w:rsidRPr="004541AA">
        <w:rPr>
          <w:rFonts w:ascii="Times New Roman" w:hAnsi="Times New Roman" w:cs="Times New Roman"/>
          <w:sz w:val="24"/>
          <w:szCs w:val="24"/>
        </w:rPr>
        <w:t>By the year 600 A</w:t>
      </w:r>
      <w:r w:rsidR="001D742E">
        <w:rPr>
          <w:rFonts w:ascii="Times New Roman" w:hAnsi="Times New Roman" w:cs="Times New Roman"/>
          <w:sz w:val="24"/>
          <w:szCs w:val="24"/>
        </w:rPr>
        <w:t>.D.</w:t>
      </w:r>
      <w:r w:rsidR="00F7316D" w:rsidRPr="004541AA">
        <w:rPr>
          <w:rFonts w:ascii="Times New Roman" w:hAnsi="Times New Roman" w:cs="Times New Roman"/>
          <w:sz w:val="24"/>
          <w:szCs w:val="24"/>
        </w:rPr>
        <w:t xml:space="preserve"> there were eight translations of the four gospel</w:t>
      </w:r>
      <w:r w:rsidR="0019688F">
        <w:rPr>
          <w:rFonts w:ascii="Times New Roman" w:hAnsi="Times New Roman" w:cs="Times New Roman"/>
          <w:sz w:val="24"/>
          <w:szCs w:val="24"/>
        </w:rPr>
        <w:t>s</w:t>
      </w:r>
      <w:r w:rsidR="0019688F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F7316D" w:rsidRPr="004541AA">
        <w:rPr>
          <w:rFonts w:ascii="Times New Roman" w:hAnsi="Times New Roman" w:cs="Times New Roman"/>
          <w:sz w:val="24"/>
          <w:szCs w:val="24"/>
        </w:rPr>
        <w:t>.</w:t>
      </w:r>
      <w:r w:rsidR="00F7316D" w:rsidRPr="004541AA">
        <w:rPr>
          <w:rFonts w:ascii="Times New Roman" w:hAnsi="Times New Roman" w:cs="Times New Roman"/>
          <w:sz w:val="24"/>
          <w:szCs w:val="24"/>
        </w:rPr>
        <w:t xml:space="preserve"> </w:t>
      </w:r>
      <w:r w:rsidR="00F7316D" w:rsidRPr="00F7316D">
        <w:rPr>
          <w:rFonts w:ascii="Times New Roman" w:hAnsi="Times New Roman" w:cs="Times New Roman"/>
          <w:sz w:val="24"/>
          <w:szCs w:val="24"/>
        </w:rPr>
        <w:t>The Greek Septuagint translation is the oldest translation, thought to have the most fidelity to the original bible and</w:t>
      </w:r>
      <w:r w:rsidR="001D742E">
        <w:rPr>
          <w:rFonts w:ascii="Times New Roman" w:hAnsi="Times New Roman" w:cs="Times New Roman"/>
          <w:sz w:val="24"/>
          <w:szCs w:val="24"/>
        </w:rPr>
        <w:t xml:space="preserve"> believed to</w:t>
      </w:r>
      <w:r w:rsidR="00F7316D" w:rsidRPr="00F7316D">
        <w:rPr>
          <w:rFonts w:ascii="Times New Roman" w:hAnsi="Times New Roman" w:cs="Times New Roman"/>
          <w:sz w:val="24"/>
          <w:szCs w:val="24"/>
        </w:rPr>
        <w:t xml:space="preserve"> have greatly influenced the Christian church</w:t>
      </w:r>
      <w:r w:rsidR="0019688F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F7316D" w:rsidRPr="00F7316D">
        <w:rPr>
          <w:rFonts w:ascii="Times New Roman" w:hAnsi="Times New Roman" w:cs="Times New Roman"/>
          <w:sz w:val="24"/>
          <w:szCs w:val="24"/>
        </w:rPr>
        <w:t>.</w:t>
      </w:r>
      <w:r w:rsidR="00F7316D" w:rsidRPr="004541AA">
        <w:rPr>
          <w:rFonts w:ascii="Times New Roman" w:hAnsi="Times New Roman" w:cs="Times New Roman"/>
          <w:sz w:val="24"/>
          <w:szCs w:val="24"/>
        </w:rPr>
        <w:t xml:space="preserve"> </w:t>
      </w:r>
      <w:r w:rsidR="00F7316D" w:rsidRPr="00F7316D">
        <w:rPr>
          <w:rFonts w:ascii="Times New Roman" w:hAnsi="Times New Roman" w:cs="Times New Roman"/>
          <w:sz w:val="24"/>
          <w:szCs w:val="24"/>
        </w:rPr>
        <w:t>The Septuagint translation was the book of the early Christian church and brought the religious ideas of the Hebrews to the forefront</w:t>
      </w:r>
      <w:r w:rsidR="0019688F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F7316D" w:rsidRPr="00F7316D">
        <w:rPr>
          <w:rFonts w:ascii="Times New Roman" w:hAnsi="Times New Roman" w:cs="Times New Roman"/>
          <w:sz w:val="24"/>
          <w:szCs w:val="24"/>
        </w:rPr>
        <w:t>.</w:t>
      </w:r>
      <w:r w:rsidR="00312352" w:rsidRPr="004541AA">
        <w:rPr>
          <w:rFonts w:ascii="Times New Roman" w:hAnsi="Times New Roman" w:cs="Times New Roman"/>
          <w:sz w:val="24"/>
          <w:szCs w:val="24"/>
        </w:rPr>
        <w:t xml:space="preserve"> </w:t>
      </w:r>
      <w:r w:rsidR="00F7316D" w:rsidRPr="00F7316D">
        <w:rPr>
          <w:rFonts w:ascii="Times New Roman" w:hAnsi="Times New Roman" w:cs="Times New Roman"/>
          <w:sz w:val="24"/>
          <w:szCs w:val="24"/>
        </w:rPr>
        <w:t>The Syriac translations became the basis for other languages translations</w:t>
      </w:r>
      <w:r w:rsidR="0019688F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="00F7316D" w:rsidRPr="00F7316D">
        <w:rPr>
          <w:rFonts w:ascii="Times New Roman" w:hAnsi="Times New Roman" w:cs="Times New Roman"/>
          <w:sz w:val="24"/>
          <w:szCs w:val="24"/>
        </w:rPr>
        <w:t>.</w:t>
      </w:r>
      <w:r w:rsidR="008E0E6A" w:rsidRPr="004541AA">
        <w:rPr>
          <w:rFonts w:ascii="Times New Roman" w:hAnsi="Times New Roman" w:cs="Times New Roman"/>
          <w:sz w:val="24"/>
          <w:szCs w:val="24"/>
        </w:rPr>
        <w:t xml:space="preserve"> </w:t>
      </w:r>
      <w:r w:rsidR="00F7316D" w:rsidRPr="00F7316D">
        <w:rPr>
          <w:rFonts w:ascii="Times New Roman" w:hAnsi="Times New Roman" w:cs="Times New Roman"/>
          <w:sz w:val="24"/>
          <w:szCs w:val="24"/>
        </w:rPr>
        <w:t xml:space="preserve">The Syriac translations had some transliterations but there was an overall attempt </w:t>
      </w:r>
      <w:r w:rsidR="00F7316D" w:rsidRPr="00F7316D">
        <w:rPr>
          <w:rFonts w:ascii="Times New Roman" w:hAnsi="Times New Roman" w:cs="Times New Roman"/>
          <w:sz w:val="24"/>
          <w:szCs w:val="24"/>
        </w:rPr>
        <w:lastRenderedPageBreak/>
        <w:t>for accuracy</w:t>
      </w:r>
      <w:r w:rsidR="0019688F"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 w:rsidR="00F7316D" w:rsidRPr="00F7316D">
        <w:rPr>
          <w:rFonts w:ascii="Times New Roman" w:hAnsi="Times New Roman" w:cs="Times New Roman"/>
          <w:sz w:val="24"/>
          <w:szCs w:val="24"/>
        </w:rPr>
        <w:t>.</w:t>
      </w:r>
      <w:r w:rsidR="008E0E6A" w:rsidRPr="004541AA">
        <w:rPr>
          <w:rFonts w:ascii="Times New Roman" w:hAnsi="Times New Roman" w:cs="Times New Roman"/>
          <w:sz w:val="24"/>
          <w:szCs w:val="24"/>
        </w:rPr>
        <w:t xml:space="preserve"> The little differences in the Syriac translations will have had impact of practices in the region and other translations</w:t>
      </w:r>
      <w:r w:rsidR="00312352" w:rsidRPr="004541AA">
        <w:rPr>
          <w:rFonts w:ascii="Times New Roman" w:hAnsi="Times New Roman" w:cs="Times New Roman"/>
          <w:sz w:val="24"/>
          <w:szCs w:val="24"/>
        </w:rPr>
        <w:t>.</w:t>
      </w:r>
      <w:r w:rsidR="008E0E6A" w:rsidRPr="004541AA">
        <w:rPr>
          <w:rFonts w:ascii="Times New Roman" w:hAnsi="Times New Roman" w:cs="Times New Roman"/>
          <w:sz w:val="24"/>
          <w:szCs w:val="24"/>
        </w:rPr>
        <w:t xml:space="preserve"> </w:t>
      </w:r>
      <w:r w:rsidR="00F7316D" w:rsidRPr="00F7316D">
        <w:rPr>
          <w:rFonts w:ascii="Times New Roman" w:hAnsi="Times New Roman" w:cs="Times New Roman"/>
          <w:sz w:val="24"/>
          <w:szCs w:val="24"/>
        </w:rPr>
        <w:t xml:space="preserve">The Latin translations varied extremely and </w:t>
      </w:r>
      <w:r w:rsidR="001300C5">
        <w:rPr>
          <w:rFonts w:ascii="Times New Roman" w:hAnsi="Times New Roman" w:cs="Times New Roman"/>
          <w:sz w:val="24"/>
          <w:szCs w:val="24"/>
        </w:rPr>
        <w:t xml:space="preserve">for a time </w:t>
      </w:r>
      <w:r w:rsidR="00F7316D" w:rsidRPr="00F7316D">
        <w:rPr>
          <w:rFonts w:ascii="Times New Roman" w:hAnsi="Times New Roman" w:cs="Times New Roman"/>
          <w:sz w:val="24"/>
          <w:szCs w:val="24"/>
        </w:rPr>
        <w:t>there was no one uniform book</w:t>
      </w:r>
      <w:r w:rsidR="001F459D">
        <w:rPr>
          <w:rFonts w:ascii="Times New Roman" w:hAnsi="Times New Roman" w:cs="Times New Roman"/>
          <w:sz w:val="24"/>
          <w:szCs w:val="24"/>
        </w:rPr>
        <w:t>,</w:t>
      </w:r>
      <w:r w:rsidR="00F7316D" w:rsidRPr="00F7316D">
        <w:rPr>
          <w:rFonts w:ascii="Times New Roman" w:hAnsi="Times New Roman" w:cs="Times New Roman"/>
          <w:sz w:val="24"/>
          <w:szCs w:val="24"/>
        </w:rPr>
        <w:t xml:space="preserve"> as no single person translated the whole work</w:t>
      </w:r>
      <w:r w:rsidR="0019688F"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 w:rsidR="00F7316D" w:rsidRPr="00F7316D">
        <w:rPr>
          <w:rFonts w:ascii="Times New Roman" w:hAnsi="Times New Roman" w:cs="Times New Roman"/>
          <w:sz w:val="24"/>
          <w:szCs w:val="24"/>
        </w:rPr>
        <w:t>.</w:t>
      </w:r>
      <w:r w:rsidR="009F63D1" w:rsidRPr="004541AA">
        <w:rPr>
          <w:rFonts w:ascii="Times New Roman" w:hAnsi="Times New Roman" w:cs="Times New Roman"/>
          <w:sz w:val="24"/>
          <w:szCs w:val="24"/>
        </w:rPr>
        <w:t xml:space="preserve"> </w:t>
      </w:r>
      <w:r w:rsidR="00F7316D" w:rsidRPr="00F7316D">
        <w:rPr>
          <w:rFonts w:ascii="Times New Roman" w:hAnsi="Times New Roman" w:cs="Times New Roman"/>
          <w:sz w:val="24"/>
          <w:szCs w:val="24"/>
        </w:rPr>
        <w:t>Augustine commented on the varied Latin translations, “…the Latin translators are out of all number.</w:t>
      </w:r>
      <w:r w:rsidR="0019688F"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  <w:r w:rsidR="0019688F">
        <w:rPr>
          <w:rFonts w:ascii="Times New Roman" w:hAnsi="Times New Roman" w:cs="Times New Roman"/>
          <w:sz w:val="24"/>
          <w:szCs w:val="24"/>
        </w:rPr>
        <w:t>”</w:t>
      </w:r>
      <w:r w:rsidR="00F7316D" w:rsidRPr="00F7316D">
        <w:rPr>
          <w:rFonts w:ascii="Times New Roman" w:hAnsi="Times New Roman" w:cs="Times New Roman"/>
          <w:sz w:val="24"/>
          <w:szCs w:val="24"/>
        </w:rPr>
        <w:t>. He continued on saying that anyone who thought they had the ability to translate would</w:t>
      </w:r>
      <w:r w:rsidR="0019688F"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 w:rsidR="00F7316D" w:rsidRPr="00F7316D">
        <w:rPr>
          <w:rFonts w:ascii="Times New Roman" w:hAnsi="Times New Roman" w:cs="Times New Roman"/>
          <w:sz w:val="24"/>
          <w:szCs w:val="24"/>
        </w:rPr>
        <w:t>.</w:t>
      </w:r>
      <w:r w:rsidR="009F63D1" w:rsidRPr="004541AA">
        <w:rPr>
          <w:rFonts w:ascii="Times New Roman" w:hAnsi="Times New Roman" w:cs="Times New Roman"/>
          <w:sz w:val="24"/>
          <w:szCs w:val="24"/>
        </w:rPr>
        <w:t xml:space="preserve"> </w:t>
      </w:r>
      <w:r w:rsidR="00F7316D" w:rsidRPr="00F7316D">
        <w:rPr>
          <w:rFonts w:ascii="Times New Roman" w:hAnsi="Times New Roman" w:cs="Times New Roman"/>
          <w:sz w:val="24"/>
          <w:szCs w:val="24"/>
        </w:rPr>
        <w:t>Finally, a Latin translat</w:t>
      </w:r>
      <w:r w:rsidR="009F63D1" w:rsidRPr="004541AA">
        <w:rPr>
          <w:rFonts w:ascii="Times New Roman" w:hAnsi="Times New Roman" w:cs="Times New Roman"/>
          <w:sz w:val="24"/>
          <w:szCs w:val="24"/>
        </w:rPr>
        <w:t xml:space="preserve">ion </w:t>
      </w:r>
      <w:r w:rsidR="00F7316D" w:rsidRPr="00F7316D">
        <w:rPr>
          <w:rFonts w:ascii="Times New Roman" w:hAnsi="Times New Roman" w:cs="Times New Roman"/>
          <w:sz w:val="24"/>
          <w:szCs w:val="24"/>
        </w:rPr>
        <w:t>known as Saint Jerome’s Vulgate translation was created with varying thoroughness and was less literal than the other Latin translations, but it cut out the large errors in other translations</w:t>
      </w:r>
      <w:r w:rsidR="0019688F">
        <w:rPr>
          <w:rStyle w:val="FootnoteReference"/>
          <w:rFonts w:ascii="Times New Roman" w:hAnsi="Times New Roman" w:cs="Times New Roman"/>
          <w:sz w:val="24"/>
          <w:szCs w:val="24"/>
        </w:rPr>
        <w:footnoteReference w:id="9"/>
      </w:r>
      <w:r w:rsidR="00F7316D" w:rsidRPr="00F7316D">
        <w:rPr>
          <w:rFonts w:ascii="Times New Roman" w:hAnsi="Times New Roman" w:cs="Times New Roman"/>
          <w:sz w:val="24"/>
          <w:szCs w:val="24"/>
        </w:rPr>
        <w:t>.</w:t>
      </w:r>
      <w:r w:rsidR="00F7316D" w:rsidRPr="004541AA">
        <w:rPr>
          <w:rFonts w:ascii="Times New Roman" w:hAnsi="Times New Roman" w:cs="Times New Roman"/>
          <w:sz w:val="24"/>
          <w:szCs w:val="24"/>
        </w:rPr>
        <w:t xml:space="preserve"> </w:t>
      </w:r>
      <w:r w:rsidR="008E0E6A" w:rsidRPr="00F7316D">
        <w:rPr>
          <w:rFonts w:ascii="Times New Roman" w:hAnsi="Times New Roman" w:cs="Times New Roman"/>
          <w:sz w:val="24"/>
          <w:szCs w:val="24"/>
        </w:rPr>
        <w:t xml:space="preserve">The Latin translations of the bible had </w:t>
      </w:r>
      <w:r w:rsidR="008E0E6A" w:rsidRPr="004541AA">
        <w:rPr>
          <w:rFonts w:ascii="Times New Roman" w:hAnsi="Times New Roman" w:cs="Times New Roman"/>
          <w:sz w:val="24"/>
          <w:szCs w:val="24"/>
        </w:rPr>
        <w:t>extreme</w:t>
      </w:r>
      <w:r w:rsidR="008E0E6A" w:rsidRPr="00F7316D">
        <w:rPr>
          <w:rFonts w:ascii="Times New Roman" w:hAnsi="Times New Roman" w:cs="Times New Roman"/>
          <w:sz w:val="24"/>
          <w:szCs w:val="24"/>
        </w:rPr>
        <w:t xml:space="preserve"> </w:t>
      </w:r>
      <w:r w:rsidR="008E0E6A" w:rsidRPr="004541AA">
        <w:rPr>
          <w:rFonts w:ascii="Times New Roman" w:hAnsi="Times New Roman" w:cs="Times New Roman"/>
          <w:sz w:val="24"/>
          <w:szCs w:val="24"/>
        </w:rPr>
        <w:t>religious influence</w:t>
      </w:r>
      <w:r w:rsidR="0019688F">
        <w:rPr>
          <w:rStyle w:val="FootnoteReference"/>
          <w:rFonts w:ascii="Times New Roman" w:hAnsi="Times New Roman" w:cs="Times New Roman"/>
          <w:sz w:val="24"/>
          <w:szCs w:val="24"/>
        </w:rPr>
        <w:footnoteReference w:id="10"/>
      </w:r>
      <w:r w:rsidR="008E0E6A" w:rsidRPr="004541AA">
        <w:rPr>
          <w:rFonts w:ascii="Times New Roman" w:hAnsi="Times New Roman" w:cs="Times New Roman"/>
          <w:sz w:val="24"/>
          <w:szCs w:val="24"/>
        </w:rPr>
        <w:t xml:space="preserve"> because t</w:t>
      </w:r>
      <w:r w:rsidR="00F7316D" w:rsidRPr="00F7316D">
        <w:rPr>
          <w:rFonts w:ascii="Times New Roman" w:hAnsi="Times New Roman" w:cs="Times New Roman"/>
          <w:sz w:val="24"/>
          <w:szCs w:val="24"/>
        </w:rPr>
        <w:t>he Vulgate translation was used for nearly a thousand years in the Christian church across the western world</w:t>
      </w:r>
      <w:r w:rsidR="0019688F">
        <w:rPr>
          <w:rStyle w:val="FootnoteReference"/>
          <w:rFonts w:ascii="Times New Roman" w:hAnsi="Times New Roman" w:cs="Times New Roman"/>
          <w:sz w:val="24"/>
          <w:szCs w:val="24"/>
        </w:rPr>
        <w:footnoteReference w:id="11"/>
      </w:r>
      <w:r w:rsidR="00F7316D" w:rsidRPr="00F7316D">
        <w:rPr>
          <w:rFonts w:ascii="Times New Roman" w:hAnsi="Times New Roman" w:cs="Times New Roman"/>
          <w:sz w:val="24"/>
          <w:szCs w:val="24"/>
        </w:rPr>
        <w:t>.</w:t>
      </w:r>
      <w:r w:rsidR="009F63D1" w:rsidRPr="004541AA">
        <w:rPr>
          <w:rFonts w:ascii="Times New Roman" w:hAnsi="Times New Roman" w:cs="Times New Roman"/>
          <w:sz w:val="24"/>
          <w:szCs w:val="24"/>
        </w:rPr>
        <w:t xml:space="preserve"> </w:t>
      </w:r>
      <w:r w:rsidR="00F7316D" w:rsidRPr="004541AA">
        <w:rPr>
          <w:rFonts w:ascii="Times New Roman" w:hAnsi="Times New Roman" w:cs="Times New Roman"/>
          <w:sz w:val="24"/>
          <w:szCs w:val="24"/>
        </w:rPr>
        <w:t xml:space="preserve">All of these translations had an impact on Christianity and began the debate whether the bible should be written word for word or </w:t>
      </w:r>
      <w:r w:rsidR="009F63D1" w:rsidRPr="004541AA">
        <w:rPr>
          <w:rFonts w:ascii="Times New Roman" w:hAnsi="Times New Roman" w:cs="Times New Roman"/>
          <w:sz w:val="24"/>
          <w:szCs w:val="24"/>
        </w:rPr>
        <w:t xml:space="preserve">to allow the reader to comprehend the original meaning and react in the way original readers would have. </w:t>
      </w:r>
      <w:r w:rsidR="00F7316D" w:rsidRPr="004541AA">
        <w:rPr>
          <w:rFonts w:ascii="Times New Roman" w:hAnsi="Times New Roman" w:cs="Times New Roman"/>
          <w:sz w:val="24"/>
          <w:szCs w:val="24"/>
        </w:rPr>
        <w:t xml:space="preserve">Despite </w:t>
      </w:r>
      <w:r w:rsidR="00312352" w:rsidRPr="004541AA">
        <w:rPr>
          <w:rFonts w:ascii="Times New Roman" w:hAnsi="Times New Roman" w:cs="Times New Roman"/>
          <w:sz w:val="24"/>
          <w:szCs w:val="24"/>
        </w:rPr>
        <w:t xml:space="preserve">best attempts, </w:t>
      </w:r>
      <w:r w:rsidR="00F7316D" w:rsidRPr="004541AA">
        <w:rPr>
          <w:rFonts w:ascii="Times New Roman" w:hAnsi="Times New Roman" w:cs="Times New Roman"/>
          <w:sz w:val="24"/>
          <w:szCs w:val="24"/>
        </w:rPr>
        <w:t>a</w:t>
      </w:r>
      <w:r w:rsidR="00F7316D" w:rsidRPr="00F7316D">
        <w:rPr>
          <w:rFonts w:ascii="Times New Roman" w:hAnsi="Times New Roman" w:cs="Times New Roman"/>
          <w:sz w:val="24"/>
          <w:szCs w:val="24"/>
        </w:rPr>
        <w:t>ll translations of the Bible are interpretive to some extent</w:t>
      </w:r>
      <w:r w:rsidR="0019688F">
        <w:rPr>
          <w:rStyle w:val="FootnoteReference"/>
          <w:rFonts w:ascii="Times New Roman" w:hAnsi="Times New Roman" w:cs="Times New Roman"/>
          <w:sz w:val="24"/>
          <w:szCs w:val="24"/>
        </w:rPr>
        <w:footnoteReference w:id="12"/>
      </w:r>
      <w:r w:rsidR="00F7316D" w:rsidRPr="004541AA">
        <w:rPr>
          <w:rFonts w:ascii="Times New Roman" w:hAnsi="Times New Roman" w:cs="Times New Roman"/>
          <w:sz w:val="24"/>
          <w:szCs w:val="24"/>
        </w:rPr>
        <w:t>, t</w:t>
      </w:r>
      <w:r w:rsidR="005A646C" w:rsidRPr="005A646C">
        <w:rPr>
          <w:rFonts w:ascii="Times New Roman" w:hAnsi="Times New Roman" w:cs="Times New Roman"/>
          <w:sz w:val="24"/>
          <w:szCs w:val="24"/>
        </w:rPr>
        <w:t>here are literal translations that focus on direct meaning and dynamic translations that focus on original intended meaning</w:t>
      </w:r>
      <w:r w:rsidR="0019688F">
        <w:rPr>
          <w:rStyle w:val="FootnoteReference"/>
          <w:rFonts w:ascii="Times New Roman" w:hAnsi="Times New Roman" w:cs="Times New Roman"/>
          <w:sz w:val="24"/>
          <w:szCs w:val="24"/>
        </w:rPr>
        <w:footnoteReference w:id="13"/>
      </w:r>
      <w:r w:rsidR="005A646C" w:rsidRPr="005A646C">
        <w:rPr>
          <w:rFonts w:ascii="Times New Roman" w:hAnsi="Times New Roman" w:cs="Times New Roman"/>
          <w:sz w:val="24"/>
          <w:szCs w:val="24"/>
        </w:rPr>
        <w:t>.</w:t>
      </w:r>
      <w:r w:rsidR="005A646C" w:rsidRPr="004541AA">
        <w:rPr>
          <w:rFonts w:ascii="Times New Roman" w:hAnsi="Times New Roman" w:cs="Times New Roman"/>
          <w:sz w:val="24"/>
          <w:szCs w:val="24"/>
        </w:rPr>
        <w:t xml:space="preserve"> </w:t>
      </w:r>
      <w:r w:rsidR="005A646C" w:rsidRPr="005A646C">
        <w:rPr>
          <w:rFonts w:ascii="Times New Roman" w:hAnsi="Times New Roman" w:cs="Times New Roman"/>
          <w:sz w:val="24"/>
          <w:szCs w:val="24"/>
        </w:rPr>
        <w:t>There are also translations that are gender-traditionalist, in which there is a more literal gendered translation of the original and there is gender-inclusive translations that use gender neutral terms</w:t>
      </w:r>
      <w:r w:rsidR="0019688F">
        <w:rPr>
          <w:rStyle w:val="FootnoteReference"/>
          <w:rFonts w:ascii="Times New Roman" w:hAnsi="Times New Roman" w:cs="Times New Roman"/>
          <w:sz w:val="24"/>
          <w:szCs w:val="24"/>
        </w:rPr>
        <w:footnoteReference w:id="14"/>
      </w:r>
      <w:r w:rsidR="005A646C" w:rsidRPr="005A646C">
        <w:rPr>
          <w:rFonts w:ascii="Times New Roman" w:hAnsi="Times New Roman" w:cs="Times New Roman"/>
          <w:sz w:val="24"/>
          <w:szCs w:val="24"/>
        </w:rPr>
        <w:t>.</w:t>
      </w:r>
      <w:r w:rsidR="005A646C" w:rsidRPr="004541AA">
        <w:rPr>
          <w:rFonts w:ascii="Times New Roman" w:hAnsi="Times New Roman" w:cs="Times New Roman"/>
          <w:sz w:val="24"/>
          <w:szCs w:val="24"/>
        </w:rPr>
        <w:t xml:space="preserve"> </w:t>
      </w:r>
      <w:r w:rsidR="005A646C" w:rsidRPr="004541AA">
        <w:rPr>
          <w:rFonts w:ascii="Times New Roman" w:hAnsi="Times New Roman" w:cs="Times New Roman"/>
          <w:sz w:val="24"/>
          <w:szCs w:val="24"/>
        </w:rPr>
        <w:t xml:space="preserve">A missionary bible translator, Eugene Nida, debated that the literal translations were </w:t>
      </w:r>
      <w:r w:rsidR="005A646C" w:rsidRPr="004541AA">
        <w:rPr>
          <w:rFonts w:ascii="Times New Roman" w:hAnsi="Times New Roman" w:cs="Times New Roman"/>
          <w:sz w:val="24"/>
          <w:szCs w:val="24"/>
        </w:rPr>
        <w:lastRenderedPageBreak/>
        <w:t>misguided, and translations should instead relay the original intended meaning</w:t>
      </w:r>
      <w:r w:rsidR="002D4F0F">
        <w:rPr>
          <w:rStyle w:val="FootnoteReference"/>
          <w:rFonts w:ascii="Times New Roman" w:hAnsi="Times New Roman" w:cs="Times New Roman"/>
          <w:sz w:val="24"/>
          <w:szCs w:val="24"/>
        </w:rPr>
        <w:footnoteReference w:id="15"/>
      </w:r>
      <w:r w:rsidR="005A646C" w:rsidRPr="004541AA">
        <w:rPr>
          <w:rFonts w:ascii="Times New Roman" w:hAnsi="Times New Roman" w:cs="Times New Roman"/>
          <w:sz w:val="24"/>
          <w:szCs w:val="24"/>
        </w:rPr>
        <w:t>.</w:t>
      </w:r>
      <w:r w:rsidR="005A646C" w:rsidRPr="004541AA">
        <w:rPr>
          <w:rFonts w:ascii="Times New Roman" w:hAnsi="Times New Roman" w:cs="Times New Roman"/>
          <w:sz w:val="24"/>
          <w:szCs w:val="24"/>
        </w:rPr>
        <w:t xml:space="preserve"> On the other hand, s</w:t>
      </w:r>
      <w:r w:rsidR="005A646C" w:rsidRPr="004541AA">
        <w:rPr>
          <w:rFonts w:ascii="Times New Roman" w:hAnsi="Times New Roman" w:cs="Times New Roman"/>
          <w:sz w:val="24"/>
          <w:szCs w:val="24"/>
        </w:rPr>
        <w:t>ome conservative evangelicals state that every word of the bible was of divine inspiration and should be as close to the original as possible</w:t>
      </w:r>
      <w:r w:rsidR="002D4F0F">
        <w:rPr>
          <w:rStyle w:val="FootnoteReference"/>
          <w:rFonts w:ascii="Times New Roman" w:hAnsi="Times New Roman" w:cs="Times New Roman"/>
          <w:sz w:val="24"/>
          <w:szCs w:val="24"/>
        </w:rPr>
        <w:footnoteReference w:id="16"/>
      </w:r>
      <w:r w:rsidR="00466D6D">
        <w:rPr>
          <w:rFonts w:ascii="Times New Roman" w:hAnsi="Times New Roman" w:cs="Times New Roman"/>
          <w:sz w:val="24"/>
          <w:szCs w:val="24"/>
        </w:rPr>
        <w:t>.</w:t>
      </w:r>
      <w:r w:rsidR="00312352" w:rsidRPr="004541AA">
        <w:rPr>
          <w:rFonts w:ascii="Times New Roman" w:hAnsi="Times New Roman" w:cs="Times New Roman"/>
          <w:sz w:val="24"/>
          <w:szCs w:val="24"/>
        </w:rPr>
        <w:t xml:space="preserve"> </w:t>
      </w:r>
      <w:r w:rsidR="00EC1F52" w:rsidRPr="004541AA">
        <w:rPr>
          <w:rFonts w:ascii="Times New Roman" w:hAnsi="Times New Roman" w:cs="Times New Roman"/>
          <w:sz w:val="24"/>
          <w:szCs w:val="24"/>
        </w:rPr>
        <w:t>M</w:t>
      </w:r>
      <w:r w:rsidR="00CD2EE4" w:rsidRPr="004541AA">
        <w:rPr>
          <w:rFonts w:ascii="Times New Roman" w:hAnsi="Times New Roman" w:cs="Times New Roman"/>
          <w:sz w:val="24"/>
          <w:szCs w:val="24"/>
        </w:rPr>
        <w:t>ost readers of the bible use a translations from within 60 years</w:t>
      </w:r>
      <w:r w:rsidR="002D4F0F">
        <w:rPr>
          <w:rStyle w:val="FootnoteReference"/>
          <w:rFonts w:ascii="Times New Roman" w:hAnsi="Times New Roman" w:cs="Times New Roman"/>
          <w:sz w:val="24"/>
          <w:szCs w:val="24"/>
        </w:rPr>
        <w:footnoteReference w:id="17"/>
      </w:r>
      <w:r w:rsidR="00EC1F52" w:rsidRPr="004541AA">
        <w:rPr>
          <w:rFonts w:ascii="Times New Roman" w:hAnsi="Times New Roman" w:cs="Times New Roman"/>
          <w:sz w:val="24"/>
          <w:szCs w:val="24"/>
        </w:rPr>
        <w:t xml:space="preserve">. </w:t>
      </w:r>
      <w:r w:rsidR="00EC1F52" w:rsidRPr="004541AA">
        <w:rPr>
          <w:rFonts w:ascii="Times New Roman" w:hAnsi="Times New Roman" w:cs="Times New Roman"/>
          <w:sz w:val="24"/>
          <w:szCs w:val="24"/>
        </w:rPr>
        <w:t>Some new</w:t>
      </w:r>
      <w:r w:rsidR="001F459D">
        <w:rPr>
          <w:rFonts w:ascii="Times New Roman" w:hAnsi="Times New Roman" w:cs="Times New Roman"/>
          <w:sz w:val="24"/>
          <w:szCs w:val="24"/>
        </w:rPr>
        <w:t>er</w:t>
      </w:r>
      <w:r w:rsidR="00EC1F52" w:rsidRPr="004541AA">
        <w:rPr>
          <w:rFonts w:ascii="Times New Roman" w:hAnsi="Times New Roman" w:cs="Times New Roman"/>
          <w:sz w:val="24"/>
          <w:szCs w:val="24"/>
        </w:rPr>
        <w:t xml:space="preserve"> translations of the bible form from theological disputes within and between communities</w:t>
      </w:r>
      <w:r w:rsidR="002D4F0F">
        <w:rPr>
          <w:rStyle w:val="FootnoteReference"/>
          <w:rFonts w:ascii="Times New Roman" w:hAnsi="Times New Roman" w:cs="Times New Roman"/>
          <w:sz w:val="24"/>
          <w:szCs w:val="24"/>
        </w:rPr>
        <w:footnoteReference w:id="18"/>
      </w:r>
      <w:r w:rsidR="00EC1F52" w:rsidRPr="004541AA">
        <w:rPr>
          <w:rFonts w:ascii="Times New Roman" w:hAnsi="Times New Roman" w:cs="Times New Roman"/>
          <w:sz w:val="24"/>
          <w:szCs w:val="24"/>
        </w:rPr>
        <w:t>, which is overall to be expected</w:t>
      </w:r>
      <w:r w:rsidR="00CD2EE4" w:rsidRPr="004541AA">
        <w:rPr>
          <w:rFonts w:ascii="Times New Roman" w:hAnsi="Times New Roman" w:cs="Times New Roman"/>
          <w:sz w:val="24"/>
          <w:szCs w:val="24"/>
        </w:rPr>
        <w:t>.</w:t>
      </w:r>
      <w:r w:rsidR="005A646C" w:rsidRPr="004541AA">
        <w:rPr>
          <w:rFonts w:ascii="Times New Roman" w:hAnsi="Times New Roman" w:cs="Times New Roman"/>
          <w:sz w:val="24"/>
          <w:szCs w:val="24"/>
        </w:rPr>
        <w:t xml:space="preserve"> </w:t>
      </w:r>
      <w:r w:rsidR="00EC1F52" w:rsidRPr="004541AA">
        <w:rPr>
          <w:rFonts w:ascii="Times New Roman" w:hAnsi="Times New Roman" w:cs="Times New Roman"/>
          <w:sz w:val="24"/>
          <w:szCs w:val="24"/>
        </w:rPr>
        <w:t>About 80% of people have a book of the bible translated in their first language</w:t>
      </w:r>
      <w:r w:rsidR="002D4F0F">
        <w:rPr>
          <w:rStyle w:val="FootnoteReference"/>
          <w:rFonts w:ascii="Times New Roman" w:hAnsi="Times New Roman" w:cs="Times New Roman"/>
          <w:sz w:val="24"/>
          <w:szCs w:val="24"/>
        </w:rPr>
        <w:footnoteReference w:id="19"/>
      </w:r>
      <w:r w:rsidR="00EC1F52" w:rsidRPr="004541AA">
        <w:rPr>
          <w:rFonts w:ascii="Times New Roman" w:hAnsi="Times New Roman" w:cs="Times New Roman"/>
          <w:sz w:val="24"/>
          <w:szCs w:val="24"/>
        </w:rPr>
        <w:t xml:space="preserve">. </w:t>
      </w:r>
      <w:r w:rsidR="00312352" w:rsidRPr="004541AA">
        <w:rPr>
          <w:rFonts w:ascii="Times New Roman" w:hAnsi="Times New Roman" w:cs="Times New Roman"/>
          <w:sz w:val="24"/>
          <w:szCs w:val="24"/>
        </w:rPr>
        <w:t>Th</w:t>
      </w:r>
      <w:r w:rsidR="00EC1F52" w:rsidRPr="004541AA">
        <w:rPr>
          <w:rFonts w:ascii="Times New Roman" w:hAnsi="Times New Roman" w:cs="Times New Roman"/>
          <w:sz w:val="24"/>
          <w:szCs w:val="24"/>
        </w:rPr>
        <w:t>is does</w:t>
      </w:r>
      <w:r w:rsidR="00312352" w:rsidRPr="004541AA">
        <w:rPr>
          <w:rFonts w:ascii="Times New Roman" w:hAnsi="Times New Roman" w:cs="Times New Roman"/>
          <w:sz w:val="24"/>
          <w:szCs w:val="24"/>
        </w:rPr>
        <w:t xml:space="preserve"> create some inquiry</w:t>
      </w:r>
      <w:r w:rsidR="003A44A1" w:rsidRPr="004541AA">
        <w:rPr>
          <w:rFonts w:ascii="Times New Roman" w:hAnsi="Times New Roman" w:cs="Times New Roman"/>
          <w:sz w:val="24"/>
          <w:szCs w:val="24"/>
        </w:rPr>
        <w:t xml:space="preserve"> into how the bible would translate into that many languages well, as gramma</w:t>
      </w:r>
      <w:r w:rsidR="00EC1F52" w:rsidRPr="004541AA">
        <w:rPr>
          <w:rFonts w:ascii="Times New Roman" w:hAnsi="Times New Roman" w:cs="Times New Roman"/>
          <w:sz w:val="24"/>
          <w:szCs w:val="24"/>
        </w:rPr>
        <w:t>r</w:t>
      </w:r>
      <w:r w:rsidR="003A44A1" w:rsidRPr="004541AA">
        <w:rPr>
          <w:rFonts w:ascii="Times New Roman" w:hAnsi="Times New Roman" w:cs="Times New Roman"/>
          <w:sz w:val="24"/>
          <w:szCs w:val="24"/>
        </w:rPr>
        <w:t xml:space="preserve"> differ</w:t>
      </w:r>
      <w:r w:rsidR="00EC1F52" w:rsidRPr="004541AA">
        <w:rPr>
          <w:rFonts w:ascii="Times New Roman" w:hAnsi="Times New Roman" w:cs="Times New Roman"/>
          <w:sz w:val="24"/>
          <w:szCs w:val="24"/>
        </w:rPr>
        <w:t>s</w:t>
      </w:r>
      <w:r w:rsidR="003A44A1" w:rsidRPr="004541AA">
        <w:rPr>
          <w:rFonts w:ascii="Times New Roman" w:hAnsi="Times New Roman" w:cs="Times New Roman"/>
          <w:sz w:val="24"/>
          <w:szCs w:val="24"/>
        </w:rPr>
        <w:t xml:space="preserve"> exceptionally and the change in grammar creates different connotations of words</w:t>
      </w:r>
      <w:r w:rsidR="00EC1F52" w:rsidRPr="004541AA">
        <w:rPr>
          <w:rFonts w:ascii="Times New Roman" w:hAnsi="Times New Roman" w:cs="Times New Roman"/>
          <w:sz w:val="24"/>
          <w:szCs w:val="24"/>
        </w:rPr>
        <w:t xml:space="preserve"> and phrases</w:t>
      </w:r>
      <w:r w:rsidR="003A44A1" w:rsidRPr="004541AA">
        <w:rPr>
          <w:rFonts w:ascii="Times New Roman" w:hAnsi="Times New Roman" w:cs="Times New Roman"/>
          <w:sz w:val="24"/>
          <w:szCs w:val="24"/>
        </w:rPr>
        <w:t xml:space="preserve">. </w:t>
      </w:r>
      <w:r w:rsidR="00312352" w:rsidRPr="00312352">
        <w:rPr>
          <w:rFonts w:ascii="Times New Roman" w:hAnsi="Times New Roman" w:cs="Times New Roman"/>
          <w:sz w:val="24"/>
          <w:szCs w:val="24"/>
        </w:rPr>
        <w:t>In the 2</w:t>
      </w:r>
      <w:r w:rsidR="00312352" w:rsidRPr="0031235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312352" w:rsidRPr="00312352">
        <w:rPr>
          <w:rFonts w:ascii="Times New Roman" w:hAnsi="Times New Roman" w:cs="Times New Roman"/>
          <w:sz w:val="24"/>
          <w:szCs w:val="24"/>
        </w:rPr>
        <w:t xml:space="preserve"> century A.D., Rabbi Judah said that “He who translates a biblical verse literally is a liar, but he who elaborates on it is a blasphemer.</w:t>
      </w:r>
      <w:r w:rsidR="002D4F0F">
        <w:rPr>
          <w:rStyle w:val="FootnoteReference"/>
          <w:rFonts w:ascii="Times New Roman" w:hAnsi="Times New Roman" w:cs="Times New Roman"/>
          <w:sz w:val="24"/>
          <w:szCs w:val="24"/>
        </w:rPr>
        <w:footnoteReference w:id="20"/>
      </w:r>
      <w:r w:rsidR="00312352" w:rsidRPr="00312352">
        <w:rPr>
          <w:rFonts w:ascii="Times New Roman" w:hAnsi="Times New Roman" w:cs="Times New Roman"/>
          <w:sz w:val="24"/>
          <w:szCs w:val="24"/>
        </w:rPr>
        <w:t>”.</w:t>
      </w:r>
      <w:r w:rsidR="00EC1F52" w:rsidRPr="004541AA">
        <w:rPr>
          <w:rFonts w:ascii="Times New Roman" w:hAnsi="Times New Roman" w:cs="Times New Roman"/>
          <w:sz w:val="24"/>
          <w:szCs w:val="24"/>
        </w:rPr>
        <w:t xml:space="preserve"> </w:t>
      </w:r>
      <w:r w:rsidR="0072638B" w:rsidRPr="004541AA">
        <w:rPr>
          <w:rFonts w:ascii="Times New Roman" w:hAnsi="Times New Roman" w:cs="Times New Roman"/>
          <w:sz w:val="24"/>
          <w:szCs w:val="24"/>
        </w:rPr>
        <w:t>Rabbi Judah and Eugene Nida hold very valid points that emphasize the bible needing to be understood</w:t>
      </w:r>
      <w:r w:rsidR="00F768CB" w:rsidRPr="004541AA">
        <w:rPr>
          <w:rFonts w:ascii="Times New Roman" w:hAnsi="Times New Roman" w:cs="Times New Roman"/>
          <w:sz w:val="24"/>
          <w:szCs w:val="24"/>
        </w:rPr>
        <w:t xml:space="preserve">. With literal translations the average person would need thoughts expanded upon but with dynamic readings people can understand the bible </w:t>
      </w:r>
      <w:r w:rsidR="008706A8" w:rsidRPr="004541AA">
        <w:rPr>
          <w:rFonts w:ascii="Times New Roman" w:hAnsi="Times New Roman" w:cs="Times New Roman"/>
          <w:sz w:val="24"/>
          <w:szCs w:val="24"/>
        </w:rPr>
        <w:t>closer to the original meanings.</w:t>
      </w:r>
      <w:r w:rsidR="00EC1F52" w:rsidRPr="004541AA">
        <w:rPr>
          <w:rFonts w:ascii="Times New Roman" w:hAnsi="Times New Roman" w:cs="Times New Roman"/>
          <w:sz w:val="24"/>
          <w:szCs w:val="24"/>
        </w:rPr>
        <w:t xml:space="preserve"> It may also be necessary for dynamic translations so that cultural changes and differences can be considered.</w:t>
      </w:r>
      <w:r w:rsidR="000A7075" w:rsidRPr="004541AA">
        <w:rPr>
          <w:rFonts w:ascii="Times New Roman" w:hAnsi="Times New Roman" w:cs="Times New Roman"/>
          <w:sz w:val="24"/>
          <w:szCs w:val="24"/>
        </w:rPr>
        <w:t xml:space="preserve"> </w:t>
      </w:r>
      <w:r w:rsidR="004649ED" w:rsidRPr="004541AA">
        <w:rPr>
          <w:rFonts w:ascii="Times New Roman" w:hAnsi="Times New Roman" w:cs="Times New Roman"/>
          <w:sz w:val="24"/>
          <w:szCs w:val="24"/>
        </w:rPr>
        <w:t xml:space="preserve">Throughout history, there have been influences on Christian cultures based on the type of biblical translation they use, </w:t>
      </w:r>
      <w:r w:rsidR="00522F30" w:rsidRPr="004541AA">
        <w:rPr>
          <w:rFonts w:ascii="Times New Roman" w:hAnsi="Times New Roman" w:cs="Times New Roman"/>
          <w:sz w:val="24"/>
          <w:szCs w:val="24"/>
        </w:rPr>
        <w:t xml:space="preserve">and the meaning should create the same reaction in the reader which can only </w:t>
      </w:r>
      <w:r w:rsidR="00897D5C" w:rsidRPr="004541AA">
        <w:rPr>
          <w:rFonts w:ascii="Times New Roman" w:hAnsi="Times New Roman" w:cs="Times New Roman"/>
          <w:sz w:val="24"/>
          <w:szCs w:val="24"/>
        </w:rPr>
        <w:t>be done with dynamic translations.</w:t>
      </w:r>
    </w:p>
    <w:p w14:paraId="38B8D69E" w14:textId="0F7DB9E3" w:rsidR="004B21AF" w:rsidRPr="004541AA" w:rsidRDefault="00F771C7" w:rsidP="004541A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541AA">
        <w:rPr>
          <w:rFonts w:ascii="Times New Roman" w:hAnsi="Times New Roman" w:cs="Times New Roman"/>
          <w:sz w:val="24"/>
          <w:szCs w:val="24"/>
        </w:rPr>
        <w:t>Within the first 5 centuries there were changes in the perception of sex</w:t>
      </w:r>
      <w:r w:rsidR="00285828" w:rsidRPr="004541AA">
        <w:rPr>
          <w:rFonts w:ascii="Times New Roman" w:hAnsi="Times New Roman" w:cs="Times New Roman"/>
          <w:sz w:val="24"/>
          <w:szCs w:val="24"/>
        </w:rPr>
        <w:t>, gender, and relationships.</w:t>
      </w:r>
      <w:r w:rsidR="000A7075" w:rsidRPr="004541AA">
        <w:rPr>
          <w:rFonts w:ascii="Times New Roman" w:hAnsi="Times New Roman" w:cs="Times New Roman"/>
          <w:sz w:val="24"/>
          <w:szCs w:val="24"/>
        </w:rPr>
        <w:t xml:space="preserve"> </w:t>
      </w:r>
      <w:r w:rsidR="00CD2EE4" w:rsidRPr="004541AA">
        <w:rPr>
          <w:rFonts w:ascii="Times New Roman" w:hAnsi="Times New Roman" w:cs="Times New Roman"/>
          <w:sz w:val="24"/>
          <w:szCs w:val="24"/>
        </w:rPr>
        <w:t xml:space="preserve">There is a belief held among many Christians that only lifelong legal, monogamous, heterosexual marriages are </w:t>
      </w:r>
      <w:r w:rsidR="00285828" w:rsidRPr="004541AA">
        <w:rPr>
          <w:rFonts w:ascii="Times New Roman" w:hAnsi="Times New Roman" w:cs="Times New Roman"/>
          <w:sz w:val="24"/>
          <w:szCs w:val="24"/>
        </w:rPr>
        <w:t xml:space="preserve">the only </w:t>
      </w:r>
      <w:r w:rsidR="00CD2EE4" w:rsidRPr="004541AA">
        <w:rPr>
          <w:rFonts w:ascii="Times New Roman" w:hAnsi="Times New Roman" w:cs="Times New Roman"/>
          <w:sz w:val="24"/>
          <w:szCs w:val="24"/>
        </w:rPr>
        <w:t>licit</w:t>
      </w:r>
      <w:r w:rsidR="00285828" w:rsidRPr="004541AA">
        <w:rPr>
          <w:rFonts w:ascii="Times New Roman" w:hAnsi="Times New Roman" w:cs="Times New Roman"/>
          <w:sz w:val="24"/>
          <w:szCs w:val="24"/>
        </w:rPr>
        <w:t xml:space="preserve"> relationship in</w:t>
      </w:r>
      <w:r w:rsidR="001D5122" w:rsidRPr="004541AA">
        <w:rPr>
          <w:rFonts w:ascii="Times New Roman" w:hAnsi="Times New Roman" w:cs="Times New Roman"/>
          <w:sz w:val="24"/>
          <w:szCs w:val="24"/>
        </w:rPr>
        <w:t xml:space="preserve"> Christianity</w:t>
      </w:r>
      <w:r w:rsidR="002D4F0F">
        <w:rPr>
          <w:rStyle w:val="FootnoteReference"/>
          <w:rFonts w:ascii="Times New Roman" w:hAnsi="Times New Roman" w:cs="Times New Roman"/>
          <w:sz w:val="24"/>
          <w:szCs w:val="24"/>
        </w:rPr>
        <w:footnoteReference w:id="21"/>
      </w:r>
      <w:r w:rsidR="00CD2EE4" w:rsidRPr="004541AA">
        <w:rPr>
          <w:rFonts w:ascii="Times New Roman" w:hAnsi="Times New Roman" w:cs="Times New Roman"/>
          <w:sz w:val="24"/>
          <w:szCs w:val="24"/>
        </w:rPr>
        <w:t>.</w:t>
      </w:r>
      <w:r w:rsidR="00AD13B7" w:rsidRPr="004541AA">
        <w:rPr>
          <w:rFonts w:ascii="Times New Roman" w:hAnsi="Times New Roman" w:cs="Times New Roman"/>
          <w:sz w:val="24"/>
          <w:szCs w:val="24"/>
        </w:rPr>
        <w:t xml:space="preserve"> However,</w:t>
      </w:r>
      <w:r w:rsidR="001D5122" w:rsidRPr="004541AA">
        <w:rPr>
          <w:rFonts w:ascii="Times New Roman" w:hAnsi="Times New Roman" w:cs="Times New Roman"/>
          <w:sz w:val="24"/>
          <w:szCs w:val="24"/>
        </w:rPr>
        <w:t xml:space="preserve"> </w:t>
      </w:r>
      <w:r w:rsidR="001D5122" w:rsidRPr="004541AA">
        <w:rPr>
          <w:rFonts w:ascii="Times New Roman" w:hAnsi="Times New Roman" w:cs="Times New Roman"/>
          <w:sz w:val="24"/>
          <w:szCs w:val="24"/>
        </w:rPr>
        <w:lastRenderedPageBreak/>
        <w:t>some</w:t>
      </w:r>
      <w:r w:rsidR="00AD13B7" w:rsidRPr="004541AA">
        <w:rPr>
          <w:rFonts w:ascii="Times New Roman" w:hAnsi="Times New Roman" w:cs="Times New Roman"/>
          <w:sz w:val="24"/>
          <w:szCs w:val="24"/>
        </w:rPr>
        <w:t xml:space="preserve"> e</w:t>
      </w:r>
      <w:r w:rsidR="00CD2EE4" w:rsidRPr="004541AA">
        <w:rPr>
          <w:rFonts w:ascii="Times New Roman" w:hAnsi="Times New Roman" w:cs="Times New Roman"/>
          <w:sz w:val="24"/>
          <w:szCs w:val="24"/>
        </w:rPr>
        <w:t>arly Christian theologians believed that sexuality and gender were just temporary states of beings in order to produce enough people to populate heaven</w:t>
      </w:r>
      <w:r w:rsidR="002D4F0F">
        <w:rPr>
          <w:rStyle w:val="FootnoteReference"/>
          <w:rFonts w:ascii="Times New Roman" w:hAnsi="Times New Roman" w:cs="Times New Roman"/>
          <w:sz w:val="24"/>
          <w:szCs w:val="24"/>
        </w:rPr>
        <w:footnoteReference w:id="22"/>
      </w:r>
      <w:r w:rsidR="00CD2EE4" w:rsidRPr="004541AA">
        <w:rPr>
          <w:rFonts w:ascii="Times New Roman" w:hAnsi="Times New Roman" w:cs="Times New Roman"/>
          <w:sz w:val="24"/>
          <w:szCs w:val="24"/>
        </w:rPr>
        <w:t>.</w:t>
      </w:r>
      <w:r w:rsidR="00C31412" w:rsidRPr="004541AA">
        <w:rPr>
          <w:rFonts w:ascii="Times New Roman" w:hAnsi="Times New Roman" w:cs="Times New Roman"/>
          <w:sz w:val="24"/>
          <w:szCs w:val="24"/>
        </w:rPr>
        <w:t xml:space="preserve"> </w:t>
      </w:r>
      <w:r w:rsidR="00AD13B7" w:rsidRPr="004541AA">
        <w:rPr>
          <w:rFonts w:ascii="Times New Roman" w:hAnsi="Times New Roman" w:cs="Times New Roman"/>
          <w:sz w:val="24"/>
          <w:szCs w:val="24"/>
        </w:rPr>
        <w:t>Within the context of early Christianity, t</w:t>
      </w:r>
      <w:r w:rsidR="00CD2EE4" w:rsidRPr="004541AA">
        <w:rPr>
          <w:rFonts w:ascii="Times New Roman" w:hAnsi="Times New Roman" w:cs="Times New Roman"/>
          <w:sz w:val="24"/>
          <w:szCs w:val="24"/>
        </w:rPr>
        <w:t>he ancient Greeks did not hold the sex</w:t>
      </w:r>
      <w:r w:rsidR="001D5122" w:rsidRPr="004541AA">
        <w:rPr>
          <w:rFonts w:ascii="Times New Roman" w:hAnsi="Times New Roman" w:cs="Times New Roman"/>
          <w:sz w:val="24"/>
          <w:szCs w:val="24"/>
        </w:rPr>
        <w:t xml:space="preserve"> or gender</w:t>
      </w:r>
      <w:r w:rsidR="00CD2EE4" w:rsidRPr="004541AA">
        <w:rPr>
          <w:rFonts w:ascii="Times New Roman" w:hAnsi="Times New Roman" w:cs="Times New Roman"/>
          <w:sz w:val="24"/>
          <w:szCs w:val="24"/>
        </w:rPr>
        <w:t xml:space="preserve"> of sexual partners with importance, and the idea of someone being homosexual did not exist</w:t>
      </w:r>
      <w:r w:rsidR="002D4F0F">
        <w:rPr>
          <w:rStyle w:val="FootnoteReference"/>
          <w:rFonts w:ascii="Times New Roman" w:hAnsi="Times New Roman" w:cs="Times New Roman"/>
          <w:sz w:val="24"/>
          <w:szCs w:val="24"/>
        </w:rPr>
        <w:footnoteReference w:id="23"/>
      </w:r>
      <w:r w:rsidR="00CD2EE4" w:rsidRPr="004541AA">
        <w:rPr>
          <w:rFonts w:ascii="Times New Roman" w:hAnsi="Times New Roman" w:cs="Times New Roman"/>
          <w:sz w:val="24"/>
          <w:szCs w:val="24"/>
        </w:rPr>
        <w:t>.</w:t>
      </w:r>
      <w:r w:rsidR="00F56AE4" w:rsidRPr="004541AA">
        <w:rPr>
          <w:rFonts w:ascii="Times New Roman" w:hAnsi="Times New Roman" w:cs="Times New Roman"/>
          <w:sz w:val="24"/>
          <w:szCs w:val="24"/>
        </w:rPr>
        <w:t xml:space="preserve"> </w:t>
      </w:r>
      <w:r w:rsidR="00CD2EE4" w:rsidRPr="004541AA">
        <w:rPr>
          <w:rFonts w:ascii="Times New Roman" w:hAnsi="Times New Roman" w:cs="Times New Roman"/>
          <w:sz w:val="24"/>
          <w:szCs w:val="24"/>
        </w:rPr>
        <w:t>The acceptance of homosexuality in the Mediterranean ended with asceticism hostile to all sexuality in late antiquity</w:t>
      </w:r>
      <w:r w:rsidR="002D4F0F">
        <w:rPr>
          <w:rStyle w:val="FootnoteReference"/>
          <w:rFonts w:ascii="Times New Roman" w:hAnsi="Times New Roman" w:cs="Times New Roman"/>
          <w:sz w:val="24"/>
          <w:szCs w:val="24"/>
        </w:rPr>
        <w:footnoteReference w:id="24"/>
      </w:r>
      <w:r w:rsidR="00CD2EE4" w:rsidRPr="004541AA">
        <w:rPr>
          <w:rFonts w:ascii="Times New Roman" w:hAnsi="Times New Roman" w:cs="Times New Roman"/>
          <w:sz w:val="24"/>
          <w:szCs w:val="24"/>
        </w:rPr>
        <w:t>.</w:t>
      </w:r>
      <w:r w:rsidR="00C31412" w:rsidRPr="004541AA">
        <w:rPr>
          <w:rFonts w:ascii="Times New Roman" w:hAnsi="Times New Roman" w:cs="Times New Roman"/>
          <w:sz w:val="24"/>
          <w:szCs w:val="24"/>
        </w:rPr>
        <w:t xml:space="preserve"> </w:t>
      </w:r>
      <w:r w:rsidR="00CD2EE4" w:rsidRPr="004541AA">
        <w:rPr>
          <w:rFonts w:ascii="Times New Roman" w:hAnsi="Times New Roman" w:cs="Times New Roman"/>
          <w:sz w:val="24"/>
          <w:szCs w:val="24"/>
        </w:rPr>
        <w:t>The Hebrews began to intensely discourage sexuality after the return from Babylonian exile, literature of the time stating sexual desire as humans largest weakness</w:t>
      </w:r>
      <w:r w:rsidR="002D4F0F">
        <w:rPr>
          <w:rStyle w:val="FootnoteReference"/>
          <w:rFonts w:ascii="Times New Roman" w:hAnsi="Times New Roman" w:cs="Times New Roman"/>
          <w:sz w:val="24"/>
          <w:szCs w:val="24"/>
        </w:rPr>
        <w:footnoteReference w:id="25"/>
      </w:r>
      <w:r w:rsidR="00CD2EE4" w:rsidRPr="004541AA">
        <w:rPr>
          <w:rFonts w:ascii="Times New Roman" w:hAnsi="Times New Roman" w:cs="Times New Roman"/>
          <w:sz w:val="24"/>
          <w:szCs w:val="24"/>
        </w:rPr>
        <w:t>. This was different to the Talmudic era in which Jews viewed sex more positively</w:t>
      </w:r>
      <w:r w:rsidR="002D4F0F">
        <w:rPr>
          <w:rStyle w:val="FootnoteReference"/>
          <w:rFonts w:ascii="Times New Roman" w:hAnsi="Times New Roman" w:cs="Times New Roman"/>
          <w:sz w:val="24"/>
          <w:szCs w:val="24"/>
        </w:rPr>
        <w:footnoteReference w:id="26"/>
      </w:r>
      <w:r w:rsidR="00CD2EE4" w:rsidRPr="004541AA">
        <w:rPr>
          <w:rFonts w:ascii="Times New Roman" w:hAnsi="Times New Roman" w:cs="Times New Roman"/>
          <w:sz w:val="24"/>
          <w:szCs w:val="24"/>
        </w:rPr>
        <w:t>.</w:t>
      </w:r>
      <w:r w:rsidR="00C31412" w:rsidRPr="004541AA">
        <w:rPr>
          <w:rFonts w:ascii="Times New Roman" w:hAnsi="Times New Roman" w:cs="Times New Roman"/>
          <w:sz w:val="24"/>
          <w:szCs w:val="24"/>
        </w:rPr>
        <w:t xml:space="preserve"> </w:t>
      </w:r>
      <w:r w:rsidR="00CD2EE4" w:rsidRPr="004541AA">
        <w:rPr>
          <w:rFonts w:ascii="Times New Roman" w:hAnsi="Times New Roman" w:cs="Times New Roman"/>
          <w:sz w:val="24"/>
          <w:szCs w:val="24"/>
        </w:rPr>
        <w:t>When the Romans came through and conquered Jerusalem the asceticism would have most likely have been cemented due to the Romans sexual promiscuity</w:t>
      </w:r>
      <w:r w:rsidR="002D4F0F">
        <w:rPr>
          <w:rStyle w:val="FootnoteReference"/>
          <w:rFonts w:ascii="Times New Roman" w:hAnsi="Times New Roman" w:cs="Times New Roman"/>
          <w:sz w:val="24"/>
          <w:szCs w:val="24"/>
        </w:rPr>
        <w:footnoteReference w:id="27"/>
      </w:r>
      <w:r w:rsidR="00CD2EE4" w:rsidRPr="004541AA">
        <w:rPr>
          <w:rFonts w:ascii="Times New Roman" w:hAnsi="Times New Roman" w:cs="Times New Roman"/>
          <w:sz w:val="24"/>
          <w:szCs w:val="24"/>
        </w:rPr>
        <w:t>.</w:t>
      </w:r>
      <w:r w:rsidR="00C31412" w:rsidRPr="004541AA">
        <w:rPr>
          <w:rFonts w:ascii="Times New Roman" w:hAnsi="Times New Roman" w:cs="Times New Roman"/>
          <w:sz w:val="24"/>
          <w:szCs w:val="24"/>
        </w:rPr>
        <w:t xml:space="preserve"> </w:t>
      </w:r>
      <w:r w:rsidR="00CD2EE4" w:rsidRPr="004541AA">
        <w:rPr>
          <w:rFonts w:ascii="Times New Roman" w:hAnsi="Times New Roman" w:cs="Times New Roman"/>
          <w:sz w:val="24"/>
          <w:szCs w:val="24"/>
        </w:rPr>
        <w:t>Early Christian thought about sexuality and homosexuality were guided by Hebrew and late Greek philosophers debates that sexual pleasure decidedly held people back from salvation and distracted the mind</w:t>
      </w:r>
      <w:r w:rsidR="002D4F0F">
        <w:rPr>
          <w:rStyle w:val="FootnoteReference"/>
          <w:rFonts w:ascii="Times New Roman" w:hAnsi="Times New Roman" w:cs="Times New Roman"/>
          <w:sz w:val="24"/>
          <w:szCs w:val="24"/>
        </w:rPr>
        <w:footnoteReference w:id="28"/>
      </w:r>
      <w:r w:rsidR="00CD2EE4" w:rsidRPr="004541AA">
        <w:rPr>
          <w:rFonts w:ascii="Times New Roman" w:hAnsi="Times New Roman" w:cs="Times New Roman"/>
          <w:sz w:val="24"/>
          <w:szCs w:val="24"/>
        </w:rPr>
        <w:t>.</w:t>
      </w:r>
      <w:r w:rsidR="00AD13B7" w:rsidRPr="004541AA">
        <w:rPr>
          <w:rFonts w:ascii="Times New Roman" w:hAnsi="Times New Roman" w:cs="Times New Roman"/>
          <w:sz w:val="24"/>
          <w:szCs w:val="24"/>
        </w:rPr>
        <w:t xml:space="preserve"> </w:t>
      </w:r>
      <w:r w:rsidR="00CD2EE4" w:rsidRPr="004541AA">
        <w:rPr>
          <w:rFonts w:ascii="Times New Roman" w:hAnsi="Times New Roman" w:cs="Times New Roman"/>
          <w:sz w:val="24"/>
          <w:szCs w:val="24"/>
        </w:rPr>
        <w:t>The early Christians therefore held hostility not only to homosexuality but sexuality in any form, with church founders praising virginity</w:t>
      </w:r>
      <w:r w:rsidR="002D4F0F">
        <w:rPr>
          <w:rStyle w:val="FootnoteReference"/>
          <w:rFonts w:ascii="Times New Roman" w:hAnsi="Times New Roman" w:cs="Times New Roman"/>
          <w:sz w:val="24"/>
          <w:szCs w:val="24"/>
        </w:rPr>
        <w:footnoteReference w:id="29"/>
      </w:r>
      <w:r w:rsidR="00CD2EE4" w:rsidRPr="004541AA">
        <w:rPr>
          <w:rFonts w:ascii="Times New Roman" w:hAnsi="Times New Roman" w:cs="Times New Roman"/>
          <w:sz w:val="24"/>
          <w:szCs w:val="24"/>
        </w:rPr>
        <w:t>.</w:t>
      </w:r>
      <w:r w:rsidR="00C31412" w:rsidRPr="004541AA">
        <w:rPr>
          <w:rFonts w:ascii="Times New Roman" w:hAnsi="Times New Roman" w:cs="Times New Roman"/>
          <w:sz w:val="24"/>
          <w:szCs w:val="24"/>
        </w:rPr>
        <w:t xml:space="preserve"> </w:t>
      </w:r>
      <w:r w:rsidR="00EC1E76" w:rsidRPr="00EC1E76">
        <w:rPr>
          <w:rFonts w:ascii="Times New Roman" w:hAnsi="Times New Roman" w:cs="Times New Roman"/>
          <w:sz w:val="24"/>
          <w:szCs w:val="24"/>
        </w:rPr>
        <w:t>Virginity was an element of personal purity, thought to be imitating Christ</w:t>
      </w:r>
      <w:r w:rsidR="002D4F0F">
        <w:rPr>
          <w:rStyle w:val="FootnoteReference"/>
          <w:rFonts w:ascii="Times New Roman" w:hAnsi="Times New Roman" w:cs="Times New Roman"/>
          <w:sz w:val="24"/>
          <w:szCs w:val="24"/>
        </w:rPr>
        <w:footnoteReference w:id="30"/>
      </w:r>
      <w:r w:rsidR="00C31412" w:rsidRPr="004541AA">
        <w:rPr>
          <w:rFonts w:ascii="Times New Roman" w:hAnsi="Times New Roman" w:cs="Times New Roman"/>
          <w:sz w:val="24"/>
          <w:szCs w:val="24"/>
        </w:rPr>
        <w:t xml:space="preserve">. </w:t>
      </w:r>
      <w:r w:rsidR="00EC1E76" w:rsidRPr="004541AA">
        <w:rPr>
          <w:rFonts w:ascii="Times New Roman" w:hAnsi="Times New Roman" w:cs="Times New Roman"/>
          <w:sz w:val="24"/>
          <w:szCs w:val="24"/>
        </w:rPr>
        <w:t>So</w:t>
      </w:r>
      <w:r w:rsidR="00C31412" w:rsidRPr="004541AA">
        <w:rPr>
          <w:rFonts w:ascii="Times New Roman" w:hAnsi="Times New Roman" w:cs="Times New Roman"/>
          <w:sz w:val="24"/>
          <w:szCs w:val="24"/>
        </w:rPr>
        <w:t>,</w:t>
      </w:r>
      <w:r w:rsidR="00EC1E76" w:rsidRPr="004541AA">
        <w:rPr>
          <w:rFonts w:ascii="Times New Roman" w:hAnsi="Times New Roman" w:cs="Times New Roman"/>
          <w:sz w:val="24"/>
          <w:szCs w:val="24"/>
        </w:rPr>
        <w:t xml:space="preserve"> with </w:t>
      </w:r>
      <w:r w:rsidR="003E59C1" w:rsidRPr="004541AA">
        <w:rPr>
          <w:rFonts w:ascii="Times New Roman" w:hAnsi="Times New Roman" w:cs="Times New Roman"/>
          <w:sz w:val="24"/>
          <w:szCs w:val="24"/>
        </w:rPr>
        <w:t xml:space="preserve">virginity </w:t>
      </w:r>
      <w:r w:rsidR="00EC1E76" w:rsidRPr="004541AA">
        <w:rPr>
          <w:rFonts w:ascii="Times New Roman" w:hAnsi="Times New Roman" w:cs="Times New Roman"/>
          <w:sz w:val="24"/>
          <w:szCs w:val="24"/>
        </w:rPr>
        <w:t>being the</w:t>
      </w:r>
      <w:r w:rsidR="003E59C1" w:rsidRPr="004541AA">
        <w:rPr>
          <w:rFonts w:ascii="Times New Roman" w:hAnsi="Times New Roman" w:cs="Times New Roman"/>
          <w:sz w:val="24"/>
          <w:szCs w:val="24"/>
        </w:rPr>
        <w:t xml:space="preserve"> best state to be in, </w:t>
      </w:r>
      <w:r w:rsidR="00C31412" w:rsidRPr="004541AA">
        <w:rPr>
          <w:rFonts w:ascii="Times New Roman" w:hAnsi="Times New Roman" w:cs="Times New Roman"/>
          <w:sz w:val="24"/>
          <w:szCs w:val="24"/>
        </w:rPr>
        <w:t xml:space="preserve">a belief formed that </w:t>
      </w:r>
      <w:r w:rsidR="003E59C1" w:rsidRPr="004541AA">
        <w:rPr>
          <w:rFonts w:ascii="Times New Roman" w:hAnsi="Times New Roman" w:cs="Times New Roman"/>
          <w:sz w:val="24"/>
          <w:szCs w:val="24"/>
        </w:rPr>
        <w:t>an appropriate accommodation would be heterosexual marriage</w:t>
      </w:r>
      <w:r w:rsidR="002D4F0F">
        <w:rPr>
          <w:rStyle w:val="FootnoteReference"/>
          <w:rFonts w:ascii="Times New Roman" w:hAnsi="Times New Roman" w:cs="Times New Roman"/>
          <w:sz w:val="24"/>
          <w:szCs w:val="24"/>
        </w:rPr>
        <w:footnoteReference w:id="31"/>
      </w:r>
      <w:r w:rsidR="003E59C1" w:rsidRPr="004541AA">
        <w:rPr>
          <w:rFonts w:ascii="Times New Roman" w:hAnsi="Times New Roman" w:cs="Times New Roman"/>
          <w:sz w:val="24"/>
          <w:szCs w:val="24"/>
        </w:rPr>
        <w:t>.</w:t>
      </w:r>
      <w:r w:rsidR="00EC1E76" w:rsidRPr="004541AA">
        <w:rPr>
          <w:rFonts w:ascii="Times New Roman" w:hAnsi="Times New Roman" w:cs="Times New Roman"/>
          <w:sz w:val="24"/>
          <w:szCs w:val="24"/>
        </w:rPr>
        <w:t xml:space="preserve"> </w:t>
      </w:r>
      <w:r w:rsidR="003E59C1" w:rsidRPr="004541AA">
        <w:rPr>
          <w:rFonts w:ascii="Times New Roman" w:hAnsi="Times New Roman" w:cs="Times New Roman"/>
          <w:sz w:val="24"/>
          <w:szCs w:val="24"/>
        </w:rPr>
        <w:t>An example of the extent the belief held, t</w:t>
      </w:r>
      <w:r w:rsidR="00CD2EE4" w:rsidRPr="004541AA">
        <w:rPr>
          <w:rFonts w:ascii="Times New Roman" w:hAnsi="Times New Roman" w:cs="Times New Roman"/>
          <w:sz w:val="24"/>
          <w:szCs w:val="24"/>
        </w:rPr>
        <w:t>he early Syrian church would only baptize unmarried Christians, holding the virginal status high</w:t>
      </w:r>
      <w:r w:rsidR="002D4F0F">
        <w:rPr>
          <w:rStyle w:val="FootnoteReference"/>
          <w:rFonts w:ascii="Times New Roman" w:hAnsi="Times New Roman" w:cs="Times New Roman"/>
          <w:sz w:val="24"/>
          <w:szCs w:val="24"/>
        </w:rPr>
        <w:footnoteReference w:id="32"/>
      </w:r>
      <w:r w:rsidR="00CD2EE4" w:rsidRPr="004541AA">
        <w:rPr>
          <w:rFonts w:ascii="Times New Roman" w:hAnsi="Times New Roman" w:cs="Times New Roman"/>
          <w:sz w:val="24"/>
          <w:szCs w:val="24"/>
        </w:rPr>
        <w:t>.</w:t>
      </w:r>
      <w:r w:rsidR="00F56AE4" w:rsidRPr="004541AA">
        <w:rPr>
          <w:rFonts w:ascii="Times New Roman" w:hAnsi="Times New Roman" w:cs="Times New Roman"/>
          <w:sz w:val="24"/>
          <w:szCs w:val="24"/>
        </w:rPr>
        <w:t xml:space="preserve"> </w:t>
      </w:r>
      <w:r w:rsidR="00F56AE4" w:rsidRPr="004541AA">
        <w:rPr>
          <w:rFonts w:ascii="Times New Roman" w:hAnsi="Times New Roman" w:cs="Times New Roman"/>
          <w:sz w:val="24"/>
          <w:szCs w:val="24"/>
        </w:rPr>
        <w:lastRenderedPageBreak/>
        <w:t>In the late 4</w:t>
      </w:r>
      <w:r w:rsidR="00F56AE4" w:rsidRPr="004541A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56AE4" w:rsidRPr="004541AA">
        <w:rPr>
          <w:rFonts w:ascii="Times New Roman" w:hAnsi="Times New Roman" w:cs="Times New Roman"/>
          <w:sz w:val="24"/>
          <w:szCs w:val="24"/>
        </w:rPr>
        <w:t xml:space="preserve"> century and 5</w:t>
      </w:r>
      <w:r w:rsidR="00F56AE4" w:rsidRPr="004541A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56AE4" w:rsidRPr="004541AA">
        <w:rPr>
          <w:rFonts w:ascii="Times New Roman" w:hAnsi="Times New Roman" w:cs="Times New Roman"/>
          <w:sz w:val="24"/>
          <w:szCs w:val="24"/>
        </w:rPr>
        <w:t xml:space="preserve"> century perfectionism in sexual purity was dropped, but they instated that</w:t>
      </w:r>
      <w:r w:rsidR="005728C2">
        <w:rPr>
          <w:rFonts w:ascii="Times New Roman" w:hAnsi="Times New Roman" w:cs="Times New Roman"/>
          <w:sz w:val="24"/>
          <w:szCs w:val="24"/>
        </w:rPr>
        <w:t xml:space="preserve"> only</w:t>
      </w:r>
      <w:r w:rsidR="00F56AE4" w:rsidRPr="004541AA">
        <w:rPr>
          <w:rFonts w:ascii="Times New Roman" w:hAnsi="Times New Roman" w:cs="Times New Roman"/>
          <w:sz w:val="24"/>
          <w:szCs w:val="24"/>
        </w:rPr>
        <w:t xml:space="preserve"> sexuality in marriage was accepted</w:t>
      </w:r>
      <w:r w:rsidR="002D4F0F">
        <w:rPr>
          <w:rStyle w:val="FootnoteReference"/>
          <w:rFonts w:ascii="Times New Roman" w:hAnsi="Times New Roman" w:cs="Times New Roman"/>
          <w:sz w:val="24"/>
          <w:szCs w:val="24"/>
        </w:rPr>
        <w:footnoteReference w:id="33"/>
      </w:r>
      <w:r w:rsidR="00F56AE4" w:rsidRPr="004541AA">
        <w:rPr>
          <w:rFonts w:ascii="Times New Roman" w:hAnsi="Times New Roman" w:cs="Times New Roman"/>
          <w:sz w:val="24"/>
          <w:szCs w:val="24"/>
        </w:rPr>
        <w:t xml:space="preserve">. And with marriages being between a man and a woman in societies of the time, this could lead to the idea that homosexuality was even more hated because they could not be married and have intercourse. </w:t>
      </w:r>
      <w:r w:rsidR="00AD13B7" w:rsidRPr="00AD13B7">
        <w:rPr>
          <w:rFonts w:ascii="Times New Roman" w:hAnsi="Times New Roman" w:cs="Times New Roman"/>
          <w:sz w:val="24"/>
          <w:szCs w:val="24"/>
        </w:rPr>
        <w:t>In the 4</w:t>
      </w:r>
      <w:r w:rsidR="00AD13B7" w:rsidRPr="00AD13B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D13B7" w:rsidRPr="00AD13B7">
        <w:rPr>
          <w:rFonts w:ascii="Times New Roman" w:hAnsi="Times New Roman" w:cs="Times New Roman"/>
          <w:sz w:val="24"/>
          <w:szCs w:val="24"/>
        </w:rPr>
        <w:t xml:space="preserve"> century, when anti-homosexual legislature was introduced by Christians, it was not just the Christians that were intolerant, but </w:t>
      </w:r>
      <w:r w:rsidR="00F56AE4" w:rsidRPr="004541AA">
        <w:rPr>
          <w:rFonts w:ascii="Times New Roman" w:hAnsi="Times New Roman" w:cs="Times New Roman"/>
          <w:sz w:val="24"/>
          <w:szCs w:val="24"/>
        </w:rPr>
        <w:t>the surrounding society as well</w:t>
      </w:r>
      <w:r w:rsidR="002D4F0F">
        <w:rPr>
          <w:rStyle w:val="FootnoteReference"/>
          <w:rFonts w:ascii="Times New Roman" w:hAnsi="Times New Roman" w:cs="Times New Roman"/>
          <w:sz w:val="24"/>
          <w:szCs w:val="24"/>
        </w:rPr>
        <w:footnoteReference w:id="34"/>
      </w:r>
      <w:r w:rsidR="00AD13B7" w:rsidRPr="00AD13B7">
        <w:rPr>
          <w:rFonts w:ascii="Times New Roman" w:hAnsi="Times New Roman" w:cs="Times New Roman"/>
          <w:sz w:val="24"/>
          <w:szCs w:val="24"/>
        </w:rPr>
        <w:t>.</w:t>
      </w:r>
      <w:r w:rsidR="00F56AE4" w:rsidRPr="004541AA">
        <w:rPr>
          <w:rFonts w:ascii="Times New Roman" w:hAnsi="Times New Roman" w:cs="Times New Roman"/>
          <w:sz w:val="24"/>
          <w:szCs w:val="24"/>
        </w:rPr>
        <w:t xml:space="preserve"> </w:t>
      </w:r>
      <w:r w:rsidR="004778CA" w:rsidRPr="004541AA">
        <w:rPr>
          <w:rFonts w:ascii="Times New Roman" w:hAnsi="Times New Roman" w:cs="Times New Roman"/>
          <w:sz w:val="24"/>
          <w:szCs w:val="24"/>
        </w:rPr>
        <w:t>There was a switch in the west from a one sex model to a two-sex model, as it went from the common thought that women were defective men to the idea that men and women were separate</w:t>
      </w:r>
      <w:r w:rsidR="002D4F0F">
        <w:rPr>
          <w:rStyle w:val="FootnoteReference"/>
          <w:rFonts w:ascii="Times New Roman" w:hAnsi="Times New Roman" w:cs="Times New Roman"/>
          <w:sz w:val="24"/>
          <w:szCs w:val="24"/>
        </w:rPr>
        <w:footnoteReference w:id="35"/>
      </w:r>
      <w:r w:rsidR="004778CA" w:rsidRPr="004541AA">
        <w:rPr>
          <w:rFonts w:ascii="Times New Roman" w:hAnsi="Times New Roman" w:cs="Times New Roman"/>
          <w:sz w:val="24"/>
          <w:szCs w:val="24"/>
        </w:rPr>
        <w:t>. This change adds context to the idea that in early</w:t>
      </w:r>
      <w:r w:rsidR="004778CA" w:rsidRPr="004541AA">
        <w:rPr>
          <w:rFonts w:ascii="Times New Roman" w:hAnsi="Times New Roman" w:cs="Times New Roman"/>
          <w:sz w:val="24"/>
          <w:szCs w:val="24"/>
        </w:rPr>
        <w:t xml:space="preserve"> </w:t>
      </w:r>
      <w:r w:rsidR="004778CA" w:rsidRPr="004541AA">
        <w:rPr>
          <w:rFonts w:ascii="Times New Roman" w:hAnsi="Times New Roman" w:cs="Times New Roman"/>
          <w:sz w:val="24"/>
          <w:szCs w:val="24"/>
        </w:rPr>
        <w:t>patriarchal societies homosexuality was normalized, as the idea of “same sex relations” would not have the same connotation.</w:t>
      </w:r>
      <w:r w:rsidR="000A7075" w:rsidRPr="004541AA">
        <w:rPr>
          <w:rFonts w:ascii="Times New Roman" w:hAnsi="Times New Roman" w:cs="Times New Roman"/>
          <w:sz w:val="24"/>
          <w:szCs w:val="24"/>
        </w:rPr>
        <w:t xml:space="preserve"> </w:t>
      </w:r>
      <w:r w:rsidR="00770AEB" w:rsidRPr="004541AA">
        <w:rPr>
          <w:rFonts w:ascii="Times New Roman" w:hAnsi="Times New Roman" w:cs="Times New Roman"/>
          <w:sz w:val="24"/>
          <w:szCs w:val="24"/>
        </w:rPr>
        <w:t>The view of h</w:t>
      </w:r>
      <w:r w:rsidR="003D3EA5" w:rsidRPr="004541AA">
        <w:rPr>
          <w:rFonts w:ascii="Times New Roman" w:hAnsi="Times New Roman" w:cs="Times New Roman"/>
          <w:sz w:val="24"/>
          <w:szCs w:val="24"/>
        </w:rPr>
        <w:t xml:space="preserve">omosexuality in the first few centuries of the church </w:t>
      </w:r>
      <w:r w:rsidR="00770AEB" w:rsidRPr="004541AA">
        <w:rPr>
          <w:rFonts w:ascii="Times New Roman" w:hAnsi="Times New Roman" w:cs="Times New Roman"/>
          <w:sz w:val="24"/>
          <w:szCs w:val="24"/>
        </w:rPr>
        <w:t xml:space="preserve">underwent a massive change. It began as something not recognized to something despised due to all sexuality being in some way </w:t>
      </w:r>
      <w:r w:rsidR="001D5122" w:rsidRPr="004541AA">
        <w:rPr>
          <w:rFonts w:ascii="Times New Roman" w:hAnsi="Times New Roman" w:cs="Times New Roman"/>
          <w:sz w:val="24"/>
          <w:szCs w:val="24"/>
        </w:rPr>
        <w:t xml:space="preserve">condemnable </w:t>
      </w:r>
      <w:r w:rsidR="004B1878">
        <w:rPr>
          <w:rFonts w:ascii="Times New Roman" w:hAnsi="Times New Roman" w:cs="Times New Roman"/>
          <w:sz w:val="24"/>
          <w:szCs w:val="24"/>
        </w:rPr>
        <w:t xml:space="preserve">with </w:t>
      </w:r>
      <w:r w:rsidR="001D5122" w:rsidRPr="004541AA">
        <w:rPr>
          <w:rFonts w:ascii="Times New Roman" w:hAnsi="Times New Roman" w:cs="Times New Roman"/>
          <w:sz w:val="24"/>
          <w:szCs w:val="24"/>
        </w:rPr>
        <w:t>the transition occurr</w:t>
      </w:r>
      <w:r w:rsidR="004B1878">
        <w:rPr>
          <w:rFonts w:ascii="Times New Roman" w:hAnsi="Times New Roman" w:cs="Times New Roman"/>
          <w:sz w:val="24"/>
          <w:szCs w:val="24"/>
        </w:rPr>
        <w:t xml:space="preserve">ing </w:t>
      </w:r>
      <w:r w:rsidR="001D5122" w:rsidRPr="004541AA">
        <w:rPr>
          <w:rFonts w:ascii="Times New Roman" w:hAnsi="Times New Roman" w:cs="Times New Roman"/>
          <w:sz w:val="24"/>
          <w:szCs w:val="24"/>
        </w:rPr>
        <w:t>as a culture not through divine intervention or scripture.</w:t>
      </w:r>
    </w:p>
    <w:p w14:paraId="30DE955A" w14:textId="4BCBC65A" w:rsidR="006951CE" w:rsidRPr="004541AA" w:rsidRDefault="008662AD" w:rsidP="004541AA">
      <w:pPr>
        <w:spacing w:line="48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541AA">
        <w:rPr>
          <w:rFonts w:ascii="Times New Roman" w:hAnsi="Times New Roman" w:cs="Times New Roman"/>
          <w:sz w:val="24"/>
          <w:szCs w:val="24"/>
        </w:rPr>
        <w:t xml:space="preserve">Despite all of the translations of the bible available being good in one way or another, </w:t>
      </w:r>
      <w:r w:rsidR="00C7118D" w:rsidRPr="004541AA">
        <w:rPr>
          <w:rFonts w:ascii="Times New Roman" w:hAnsi="Times New Roman" w:cs="Times New Roman"/>
          <w:sz w:val="24"/>
          <w:szCs w:val="24"/>
        </w:rPr>
        <w:t xml:space="preserve">a translation should be able to hold the same meaning rather than have literal </w:t>
      </w:r>
      <w:r w:rsidR="00031F69" w:rsidRPr="004541AA">
        <w:rPr>
          <w:rFonts w:ascii="Times New Roman" w:hAnsi="Times New Roman" w:cs="Times New Roman"/>
          <w:sz w:val="24"/>
          <w:szCs w:val="24"/>
        </w:rPr>
        <w:t xml:space="preserve">meaning since there is such a big impact of translation into Christian doctrine and thinking. </w:t>
      </w:r>
      <w:r w:rsidR="00537850" w:rsidRPr="004541AA">
        <w:rPr>
          <w:rFonts w:ascii="Times New Roman" w:hAnsi="Times New Roman" w:cs="Times New Roman"/>
          <w:sz w:val="24"/>
          <w:szCs w:val="24"/>
        </w:rPr>
        <w:t xml:space="preserve">The context of the church on homosexuality did not begin as direct condemnation but rather a societal shift </w:t>
      </w:r>
      <w:r w:rsidR="00F4436A" w:rsidRPr="004541AA">
        <w:rPr>
          <w:rFonts w:ascii="Times New Roman" w:hAnsi="Times New Roman" w:cs="Times New Roman"/>
          <w:sz w:val="24"/>
          <w:szCs w:val="24"/>
        </w:rPr>
        <w:t>after surrounding societies formed a belief that sex was not something to be encouraged</w:t>
      </w:r>
      <w:r w:rsidR="00F131DE" w:rsidRPr="004541AA">
        <w:rPr>
          <w:rFonts w:ascii="Times New Roman" w:hAnsi="Times New Roman" w:cs="Times New Roman"/>
          <w:sz w:val="24"/>
          <w:szCs w:val="24"/>
        </w:rPr>
        <w:t xml:space="preserve">. There </w:t>
      </w:r>
      <w:r w:rsidR="00AE1BB2" w:rsidRPr="004541AA">
        <w:rPr>
          <w:rFonts w:ascii="Times New Roman" w:hAnsi="Times New Roman" w:cs="Times New Roman"/>
          <w:sz w:val="24"/>
          <w:szCs w:val="24"/>
        </w:rPr>
        <w:t>were</w:t>
      </w:r>
      <w:r w:rsidR="004B1878">
        <w:rPr>
          <w:rFonts w:ascii="Times New Roman" w:hAnsi="Times New Roman" w:cs="Times New Roman"/>
          <w:sz w:val="24"/>
          <w:szCs w:val="24"/>
        </w:rPr>
        <w:t xml:space="preserve"> </w:t>
      </w:r>
      <w:r w:rsidR="00F131DE" w:rsidRPr="004541AA">
        <w:rPr>
          <w:rFonts w:ascii="Times New Roman" w:hAnsi="Times New Roman" w:cs="Times New Roman"/>
          <w:sz w:val="24"/>
          <w:szCs w:val="24"/>
        </w:rPr>
        <w:t>fundamental societal shift</w:t>
      </w:r>
      <w:r w:rsidR="004B1878">
        <w:rPr>
          <w:rFonts w:ascii="Times New Roman" w:hAnsi="Times New Roman" w:cs="Times New Roman"/>
          <w:sz w:val="24"/>
          <w:szCs w:val="24"/>
        </w:rPr>
        <w:t>s</w:t>
      </w:r>
      <w:r w:rsidR="00F131DE" w:rsidRPr="004541AA">
        <w:rPr>
          <w:rFonts w:ascii="Times New Roman" w:hAnsi="Times New Roman" w:cs="Times New Roman"/>
          <w:sz w:val="24"/>
          <w:szCs w:val="24"/>
        </w:rPr>
        <w:t xml:space="preserve"> that created this now </w:t>
      </w:r>
      <w:r w:rsidR="0011411F" w:rsidRPr="004541AA">
        <w:rPr>
          <w:rFonts w:ascii="Times New Roman" w:hAnsi="Times New Roman" w:cs="Times New Roman"/>
          <w:sz w:val="24"/>
          <w:szCs w:val="24"/>
        </w:rPr>
        <w:t>well-known</w:t>
      </w:r>
      <w:r w:rsidR="00F131DE" w:rsidRPr="004541AA">
        <w:rPr>
          <w:rFonts w:ascii="Times New Roman" w:hAnsi="Times New Roman" w:cs="Times New Roman"/>
          <w:sz w:val="24"/>
          <w:szCs w:val="24"/>
        </w:rPr>
        <w:t xml:space="preserve"> belief.</w:t>
      </w:r>
      <w:r w:rsidR="000A7075" w:rsidRPr="004541AA">
        <w:rPr>
          <w:rFonts w:ascii="Times New Roman" w:hAnsi="Times New Roman" w:cs="Times New Roman"/>
          <w:sz w:val="24"/>
          <w:szCs w:val="24"/>
        </w:rPr>
        <w:t xml:space="preserve"> </w:t>
      </w:r>
      <w:r w:rsidR="0011411F" w:rsidRPr="004541AA">
        <w:rPr>
          <w:rFonts w:ascii="Times New Roman" w:hAnsi="Times New Roman" w:cs="Times New Roman"/>
          <w:sz w:val="24"/>
          <w:szCs w:val="24"/>
        </w:rPr>
        <w:t>Overall</w:t>
      </w:r>
      <w:r w:rsidR="006951CE" w:rsidRPr="004541AA">
        <w:rPr>
          <w:rFonts w:ascii="Times New Roman" w:hAnsi="Times New Roman" w:cs="Times New Roman"/>
          <w:sz w:val="24"/>
          <w:szCs w:val="24"/>
        </w:rPr>
        <w:t>,</w:t>
      </w:r>
      <w:r w:rsidR="0011411F" w:rsidRPr="004541AA">
        <w:rPr>
          <w:rFonts w:ascii="Times New Roman" w:hAnsi="Times New Roman" w:cs="Times New Roman"/>
          <w:sz w:val="24"/>
          <w:szCs w:val="24"/>
        </w:rPr>
        <w:t xml:space="preserve"> within the debate of homosexuality in the church both translation and context are important. They both show a timeline </w:t>
      </w:r>
      <w:r w:rsidR="008F6318" w:rsidRPr="004541AA">
        <w:rPr>
          <w:rFonts w:ascii="Times New Roman" w:hAnsi="Times New Roman" w:cs="Times New Roman"/>
          <w:sz w:val="24"/>
          <w:szCs w:val="24"/>
        </w:rPr>
        <w:t xml:space="preserve">for the ideals and social construct and provide another aspect of </w:t>
      </w:r>
      <w:r w:rsidR="006951CE" w:rsidRPr="004541AA">
        <w:rPr>
          <w:rFonts w:ascii="Times New Roman" w:hAnsi="Times New Roman" w:cs="Times New Roman"/>
          <w:sz w:val="24"/>
          <w:szCs w:val="24"/>
        </w:rPr>
        <w:t xml:space="preserve">understanding the basis </w:t>
      </w:r>
      <w:r w:rsidR="006951CE" w:rsidRPr="004541AA">
        <w:rPr>
          <w:rFonts w:ascii="Times New Roman" w:hAnsi="Times New Roman" w:cs="Times New Roman"/>
          <w:sz w:val="24"/>
          <w:szCs w:val="24"/>
        </w:rPr>
        <w:lastRenderedPageBreak/>
        <w:t>of beliefs.</w:t>
      </w:r>
      <w:r w:rsidR="000A7075" w:rsidRPr="004541AA">
        <w:rPr>
          <w:rFonts w:ascii="Times New Roman" w:hAnsi="Times New Roman" w:cs="Times New Roman"/>
          <w:sz w:val="24"/>
          <w:szCs w:val="24"/>
        </w:rPr>
        <w:t xml:space="preserve"> </w:t>
      </w:r>
      <w:r w:rsidR="006951CE" w:rsidRPr="004541AA">
        <w:rPr>
          <w:rFonts w:ascii="Times New Roman" w:hAnsi="Times New Roman" w:cs="Times New Roman"/>
          <w:sz w:val="24"/>
          <w:szCs w:val="24"/>
        </w:rPr>
        <w:t xml:space="preserve">This kind of research continues to be important </w:t>
      </w:r>
      <w:r w:rsidR="0076281D" w:rsidRPr="004541AA">
        <w:rPr>
          <w:rFonts w:ascii="Times New Roman" w:hAnsi="Times New Roman" w:cs="Times New Roman"/>
          <w:sz w:val="24"/>
          <w:szCs w:val="24"/>
        </w:rPr>
        <w:t xml:space="preserve">since the ideas of gender and sex in the church continue to change. There may even be room for discussion if early Christians would also have preferred the </w:t>
      </w:r>
      <w:r w:rsidR="00012FD4" w:rsidRPr="004541AA">
        <w:rPr>
          <w:rFonts w:ascii="Times New Roman" w:hAnsi="Times New Roman" w:cs="Times New Roman"/>
          <w:sz w:val="24"/>
          <w:szCs w:val="24"/>
        </w:rPr>
        <w:t>dynamic and more gender-neutral bible translation</w:t>
      </w:r>
      <w:r w:rsidR="00832084" w:rsidRPr="004541AA">
        <w:rPr>
          <w:rFonts w:ascii="Times New Roman" w:hAnsi="Times New Roman" w:cs="Times New Roman"/>
          <w:sz w:val="24"/>
          <w:szCs w:val="24"/>
        </w:rPr>
        <w:t xml:space="preserve">, and if so, what effect would that have on current Christians. With continued research </w:t>
      </w:r>
      <w:r w:rsidR="003076AC" w:rsidRPr="004541AA">
        <w:rPr>
          <w:rFonts w:ascii="Times New Roman" w:hAnsi="Times New Roman" w:cs="Times New Roman"/>
          <w:sz w:val="24"/>
          <w:szCs w:val="24"/>
        </w:rPr>
        <w:t xml:space="preserve">there is room for analyzing the surrounding societies influence on the evolution of the church. There also was a gap in knowledge, such as </w:t>
      </w:r>
      <w:r w:rsidR="00AD0B4B" w:rsidRPr="004541AA">
        <w:rPr>
          <w:rFonts w:ascii="Times New Roman" w:hAnsi="Times New Roman" w:cs="Times New Roman"/>
          <w:sz w:val="24"/>
          <w:szCs w:val="24"/>
        </w:rPr>
        <w:t>Jesus</w:t>
      </w:r>
      <w:r w:rsidR="003076AC" w:rsidRPr="004541AA">
        <w:rPr>
          <w:rFonts w:ascii="Times New Roman" w:hAnsi="Times New Roman" w:cs="Times New Roman"/>
          <w:sz w:val="24"/>
          <w:szCs w:val="24"/>
        </w:rPr>
        <w:t xml:space="preserve"> having a </w:t>
      </w:r>
      <w:r w:rsidR="00E61246" w:rsidRPr="004541AA">
        <w:rPr>
          <w:rFonts w:ascii="Times New Roman" w:hAnsi="Times New Roman" w:cs="Times New Roman"/>
          <w:sz w:val="24"/>
          <w:szCs w:val="24"/>
        </w:rPr>
        <w:t xml:space="preserve">spiritual, and possible sexual partner, Mary Magdalene. If the idea of virginity being closest to </w:t>
      </w:r>
      <w:r w:rsidR="00AD0B4B" w:rsidRPr="004541AA">
        <w:rPr>
          <w:rFonts w:ascii="Times New Roman" w:hAnsi="Times New Roman" w:cs="Times New Roman"/>
          <w:sz w:val="24"/>
          <w:szCs w:val="24"/>
        </w:rPr>
        <w:t>Jesus</w:t>
      </w:r>
      <w:r w:rsidR="00E61246" w:rsidRPr="004541AA">
        <w:rPr>
          <w:rFonts w:ascii="Times New Roman" w:hAnsi="Times New Roman" w:cs="Times New Roman"/>
          <w:sz w:val="24"/>
          <w:szCs w:val="24"/>
        </w:rPr>
        <w:t xml:space="preserve"> </w:t>
      </w:r>
      <w:r w:rsidR="0070066D" w:rsidRPr="004541AA">
        <w:rPr>
          <w:rFonts w:ascii="Times New Roman" w:hAnsi="Times New Roman" w:cs="Times New Roman"/>
          <w:sz w:val="24"/>
          <w:szCs w:val="24"/>
        </w:rPr>
        <w:t xml:space="preserve">was a cause for how </w:t>
      </w:r>
      <w:r w:rsidR="00AD0B4B" w:rsidRPr="004541AA">
        <w:rPr>
          <w:rFonts w:ascii="Times New Roman" w:hAnsi="Times New Roman" w:cs="Times New Roman"/>
          <w:sz w:val="24"/>
          <w:szCs w:val="24"/>
        </w:rPr>
        <w:t>sexual relations was looked at in the church ho</w:t>
      </w:r>
      <w:r w:rsidR="004B1878">
        <w:rPr>
          <w:rFonts w:ascii="Times New Roman" w:hAnsi="Times New Roman" w:cs="Times New Roman"/>
          <w:sz w:val="24"/>
          <w:szCs w:val="24"/>
        </w:rPr>
        <w:t>w</w:t>
      </w:r>
      <w:r w:rsidR="00AD0B4B" w:rsidRPr="004541AA">
        <w:rPr>
          <w:rFonts w:ascii="Times New Roman" w:hAnsi="Times New Roman" w:cs="Times New Roman"/>
          <w:sz w:val="24"/>
          <w:szCs w:val="24"/>
        </w:rPr>
        <w:t xml:space="preserve"> could it change with this new possibility?  </w:t>
      </w:r>
      <w:r w:rsidR="00F53025" w:rsidRPr="004541AA">
        <w:rPr>
          <w:rFonts w:ascii="Times New Roman" w:hAnsi="Times New Roman" w:cs="Times New Roman"/>
          <w:sz w:val="24"/>
          <w:szCs w:val="24"/>
        </w:rPr>
        <w:t xml:space="preserve">There may not even be a condemnation for sexual relations outside of </w:t>
      </w:r>
      <w:r w:rsidR="00291694" w:rsidRPr="004541AA">
        <w:rPr>
          <w:rFonts w:ascii="Times New Roman" w:hAnsi="Times New Roman" w:cs="Times New Roman"/>
          <w:sz w:val="24"/>
          <w:szCs w:val="24"/>
        </w:rPr>
        <w:t xml:space="preserve">marriage or homosexuality if the belief about virginity had not taken root. Although “what if’s” are just possibilities, it may be worth looking into </w:t>
      </w:r>
      <w:r w:rsidR="004B1878">
        <w:rPr>
          <w:rFonts w:ascii="Times New Roman" w:hAnsi="Times New Roman" w:cs="Times New Roman"/>
          <w:sz w:val="24"/>
          <w:szCs w:val="24"/>
        </w:rPr>
        <w:t>with this debate furthers.</w:t>
      </w:r>
    </w:p>
    <w:p w14:paraId="48D16AA9" w14:textId="517E3114" w:rsidR="00B00DFF" w:rsidRPr="004541AA" w:rsidRDefault="00B00DFF" w:rsidP="004541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0D37C9" w14:textId="7F387FC3" w:rsidR="00B00DFF" w:rsidRPr="004541AA" w:rsidRDefault="00B00DFF" w:rsidP="004541AA">
      <w:pPr>
        <w:pStyle w:val="NormalWeb"/>
        <w:spacing w:line="480" w:lineRule="auto"/>
        <w:ind w:left="567" w:hanging="567"/>
      </w:pPr>
      <w:r w:rsidRPr="004541AA">
        <w:t>Citations</w:t>
      </w:r>
    </w:p>
    <w:p w14:paraId="61BEB237" w14:textId="46C0DDE3" w:rsidR="00B00DFF" w:rsidRPr="004541AA" w:rsidRDefault="00B00DFF" w:rsidP="004541AA">
      <w:pPr>
        <w:pStyle w:val="NormalWeb"/>
        <w:spacing w:line="480" w:lineRule="auto"/>
        <w:ind w:left="567" w:hanging="567"/>
      </w:pPr>
      <w:r w:rsidRPr="004541AA">
        <w:t xml:space="preserve">Greenberg, David F., and Marcia H. Bystryn. “Christian Intolerance of Homosexuality.” </w:t>
      </w:r>
      <w:r w:rsidRPr="004541AA">
        <w:rPr>
          <w:i/>
          <w:iCs/>
        </w:rPr>
        <w:t>American Journal of Sociology</w:t>
      </w:r>
      <w:r w:rsidRPr="004541AA">
        <w:t xml:space="preserve"> 88, no. 3 (November 1982): 515–48. </w:t>
      </w:r>
    </w:p>
    <w:p w14:paraId="6BC7D2E7" w14:textId="77777777" w:rsidR="00B00DFF" w:rsidRPr="004541AA" w:rsidRDefault="00B00DFF" w:rsidP="004541AA">
      <w:pPr>
        <w:pStyle w:val="NormalWeb"/>
        <w:spacing w:line="480" w:lineRule="auto"/>
        <w:ind w:left="567" w:hanging="567"/>
      </w:pPr>
      <w:r w:rsidRPr="004541AA">
        <w:t xml:space="preserve">Metzger, Bruce M. “Important Early Translations of the Bible.” </w:t>
      </w:r>
      <w:r w:rsidRPr="004541AA">
        <w:rPr>
          <w:i/>
          <w:iCs/>
        </w:rPr>
        <w:t>Bibliotheca Sacra</w:t>
      </w:r>
      <w:r w:rsidRPr="004541AA">
        <w:t xml:space="preserve"> 150 (1993): 35–49. </w:t>
      </w:r>
    </w:p>
    <w:p w14:paraId="6BF2C979" w14:textId="77777777" w:rsidR="00B00DFF" w:rsidRPr="004541AA" w:rsidRDefault="00B00DFF" w:rsidP="004541AA">
      <w:pPr>
        <w:pStyle w:val="NormalWeb"/>
        <w:spacing w:line="480" w:lineRule="auto"/>
        <w:ind w:left="567" w:hanging="567"/>
      </w:pPr>
      <w:r w:rsidRPr="004541AA">
        <w:t xml:space="preserve">Perry, Samuel L, and Joshua B Grubbs. “Formal or Functional? Traditional or Inclusive? Bible Translations as Markers of Religious Subcultures.” </w:t>
      </w:r>
      <w:r w:rsidRPr="004541AA">
        <w:rPr>
          <w:i/>
          <w:iCs/>
        </w:rPr>
        <w:t>Sociology of Religion</w:t>
      </w:r>
      <w:r w:rsidRPr="004541AA">
        <w:t xml:space="preserve"> 81, no. 3 (2020): 319–42. https://doi.org/10.1093/socrel/sraa003. </w:t>
      </w:r>
    </w:p>
    <w:p w14:paraId="31636312" w14:textId="2A487EF1" w:rsidR="009F21B9" w:rsidRPr="00466D6D" w:rsidRDefault="00B00DFF" w:rsidP="00466D6D">
      <w:pPr>
        <w:pStyle w:val="NormalWeb"/>
        <w:spacing w:line="480" w:lineRule="auto"/>
        <w:ind w:left="567" w:hanging="567"/>
      </w:pPr>
      <w:r w:rsidRPr="004541AA">
        <w:t xml:space="preserve">Tonstad, Linn Marie. </w:t>
      </w:r>
      <w:r w:rsidRPr="004541AA">
        <w:rPr>
          <w:i/>
          <w:iCs/>
        </w:rPr>
        <w:t>Queer Theology: Beyond Apologetics</w:t>
      </w:r>
      <w:r w:rsidRPr="004541AA">
        <w:t xml:space="preserve">. Eugene, OR: Cascade Books, 2018. </w:t>
      </w:r>
    </w:p>
    <w:sectPr w:rsidR="009F21B9" w:rsidRPr="00466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F8051" w14:textId="77777777" w:rsidR="00FE7BA0" w:rsidRDefault="00FE7BA0" w:rsidP="0019688F">
      <w:pPr>
        <w:spacing w:after="0" w:line="240" w:lineRule="auto"/>
      </w:pPr>
      <w:r>
        <w:separator/>
      </w:r>
    </w:p>
  </w:endnote>
  <w:endnote w:type="continuationSeparator" w:id="0">
    <w:p w14:paraId="5AF098E5" w14:textId="77777777" w:rsidR="00FE7BA0" w:rsidRDefault="00FE7BA0" w:rsidP="00196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CE843" w14:textId="77777777" w:rsidR="00FE7BA0" w:rsidRDefault="00FE7BA0" w:rsidP="0019688F">
      <w:pPr>
        <w:spacing w:after="0" w:line="240" w:lineRule="auto"/>
      </w:pPr>
      <w:r>
        <w:separator/>
      </w:r>
    </w:p>
  </w:footnote>
  <w:footnote w:type="continuationSeparator" w:id="0">
    <w:p w14:paraId="6AA7606C" w14:textId="77777777" w:rsidR="00FE7BA0" w:rsidRDefault="00FE7BA0" w:rsidP="0019688F">
      <w:pPr>
        <w:spacing w:after="0" w:line="240" w:lineRule="auto"/>
      </w:pPr>
      <w:r>
        <w:continuationSeparator/>
      </w:r>
    </w:p>
  </w:footnote>
  <w:footnote w:id="1">
    <w:p w14:paraId="67030A28" w14:textId="3C87915F" w:rsidR="0019688F" w:rsidRDefault="0019688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41AA">
        <w:rPr>
          <w:rFonts w:ascii="Times New Roman" w:hAnsi="Times New Roman" w:cs="Times New Roman"/>
          <w:sz w:val="24"/>
          <w:szCs w:val="24"/>
        </w:rPr>
        <w:t>Metzger 1993,</w:t>
      </w:r>
      <w:r w:rsidRPr="004541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541AA">
        <w:rPr>
          <w:rFonts w:ascii="Times New Roman" w:hAnsi="Times New Roman" w:cs="Times New Roman"/>
          <w:sz w:val="24"/>
          <w:szCs w:val="24"/>
        </w:rPr>
        <w:t>35</w:t>
      </w:r>
    </w:p>
  </w:footnote>
  <w:footnote w:id="2">
    <w:p w14:paraId="48ADF08D" w14:textId="4409F5AE" w:rsidR="0019688F" w:rsidRDefault="0019688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7316D">
        <w:rPr>
          <w:rFonts w:ascii="Times New Roman" w:hAnsi="Times New Roman" w:cs="Times New Roman"/>
          <w:sz w:val="24"/>
          <w:szCs w:val="24"/>
        </w:rPr>
        <w:t>Metzger 1993,</w:t>
      </w:r>
      <w:r w:rsidRPr="00F731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7316D">
        <w:rPr>
          <w:rFonts w:ascii="Times New Roman" w:hAnsi="Times New Roman" w:cs="Times New Roman"/>
          <w:sz w:val="24"/>
          <w:szCs w:val="24"/>
        </w:rPr>
        <w:t>37</w:t>
      </w:r>
    </w:p>
  </w:footnote>
  <w:footnote w:id="3">
    <w:p w14:paraId="2D324C7F" w14:textId="71179516" w:rsidR="0019688F" w:rsidRDefault="0019688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7316D">
        <w:rPr>
          <w:rFonts w:ascii="Times New Roman" w:hAnsi="Times New Roman" w:cs="Times New Roman"/>
          <w:sz w:val="24"/>
          <w:szCs w:val="24"/>
        </w:rPr>
        <w:t>Metzger 1993,</w:t>
      </w:r>
      <w:r w:rsidRPr="00F731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7316D">
        <w:rPr>
          <w:rFonts w:ascii="Times New Roman" w:hAnsi="Times New Roman" w:cs="Times New Roman"/>
          <w:sz w:val="24"/>
          <w:szCs w:val="24"/>
        </w:rPr>
        <w:t>39</w:t>
      </w:r>
    </w:p>
  </w:footnote>
  <w:footnote w:id="4">
    <w:p w14:paraId="368DFE1E" w14:textId="1849EB76" w:rsidR="0019688F" w:rsidRDefault="0019688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7316D">
        <w:rPr>
          <w:rFonts w:ascii="Times New Roman" w:hAnsi="Times New Roman" w:cs="Times New Roman"/>
          <w:sz w:val="24"/>
          <w:szCs w:val="24"/>
        </w:rPr>
        <w:t>Metzger 1993,</w:t>
      </w:r>
      <w:r w:rsidRPr="00F731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7316D">
        <w:rPr>
          <w:rFonts w:ascii="Times New Roman" w:hAnsi="Times New Roman" w:cs="Times New Roman"/>
          <w:sz w:val="24"/>
          <w:szCs w:val="24"/>
        </w:rPr>
        <w:t>44</w:t>
      </w:r>
    </w:p>
  </w:footnote>
  <w:footnote w:id="5">
    <w:p w14:paraId="5B34851D" w14:textId="778A7999" w:rsidR="0019688F" w:rsidRDefault="0019688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7316D">
        <w:rPr>
          <w:rFonts w:ascii="Times New Roman" w:hAnsi="Times New Roman" w:cs="Times New Roman"/>
          <w:sz w:val="24"/>
          <w:szCs w:val="24"/>
        </w:rPr>
        <w:t>Metzger 1993,</w:t>
      </w:r>
      <w:r w:rsidRPr="00F731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7316D">
        <w:rPr>
          <w:rFonts w:ascii="Times New Roman" w:hAnsi="Times New Roman" w:cs="Times New Roman"/>
          <w:sz w:val="24"/>
          <w:szCs w:val="24"/>
        </w:rPr>
        <w:t>44</w:t>
      </w:r>
    </w:p>
  </w:footnote>
  <w:footnote w:id="6">
    <w:p w14:paraId="6EDCF375" w14:textId="608B849B" w:rsidR="0019688F" w:rsidRDefault="0019688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7316D">
        <w:rPr>
          <w:rFonts w:ascii="Times New Roman" w:hAnsi="Times New Roman" w:cs="Times New Roman"/>
          <w:sz w:val="24"/>
          <w:szCs w:val="24"/>
        </w:rPr>
        <w:t>Metzger 1993,</w:t>
      </w:r>
      <w:r w:rsidRPr="00F731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7316D">
        <w:rPr>
          <w:rFonts w:ascii="Times New Roman" w:hAnsi="Times New Roman" w:cs="Times New Roman"/>
          <w:sz w:val="24"/>
          <w:szCs w:val="24"/>
        </w:rPr>
        <w:t>45</w:t>
      </w:r>
    </w:p>
  </w:footnote>
  <w:footnote w:id="7">
    <w:p w14:paraId="4F79B260" w14:textId="5FF2E14C" w:rsidR="0019688F" w:rsidRDefault="0019688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7316D">
        <w:rPr>
          <w:rFonts w:ascii="Times New Roman" w:hAnsi="Times New Roman" w:cs="Times New Roman"/>
          <w:sz w:val="24"/>
          <w:szCs w:val="24"/>
        </w:rPr>
        <w:t>Metzger 1993,</w:t>
      </w:r>
      <w:r w:rsidRPr="00F731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7316D">
        <w:rPr>
          <w:rFonts w:ascii="Times New Roman" w:hAnsi="Times New Roman" w:cs="Times New Roman"/>
          <w:sz w:val="24"/>
          <w:szCs w:val="24"/>
        </w:rPr>
        <w:t>46</w:t>
      </w:r>
    </w:p>
  </w:footnote>
  <w:footnote w:id="8">
    <w:p w14:paraId="2D441CC9" w14:textId="0CEF262B" w:rsidR="0019688F" w:rsidRDefault="0019688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7316D">
        <w:rPr>
          <w:rFonts w:ascii="Times New Roman" w:hAnsi="Times New Roman" w:cs="Times New Roman"/>
          <w:sz w:val="24"/>
          <w:szCs w:val="24"/>
        </w:rPr>
        <w:t>Metzger 1993,</w:t>
      </w:r>
      <w:r w:rsidRPr="00F731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7316D">
        <w:rPr>
          <w:rFonts w:ascii="Times New Roman" w:hAnsi="Times New Roman" w:cs="Times New Roman"/>
          <w:sz w:val="24"/>
          <w:szCs w:val="24"/>
        </w:rPr>
        <w:t>46</w:t>
      </w:r>
    </w:p>
  </w:footnote>
  <w:footnote w:id="9">
    <w:p w14:paraId="0D3519EA" w14:textId="5792DFEA" w:rsidR="0019688F" w:rsidRDefault="0019688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7316D">
        <w:rPr>
          <w:rFonts w:ascii="Times New Roman" w:hAnsi="Times New Roman" w:cs="Times New Roman"/>
          <w:sz w:val="24"/>
          <w:szCs w:val="24"/>
        </w:rPr>
        <w:t>Metzger 1993,</w:t>
      </w:r>
      <w:r w:rsidRPr="00F731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7316D">
        <w:rPr>
          <w:rFonts w:ascii="Times New Roman" w:hAnsi="Times New Roman" w:cs="Times New Roman"/>
          <w:sz w:val="24"/>
          <w:szCs w:val="24"/>
        </w:rPr>
        <w:t>46-47</w:t>
      </w:r>
    </w:p>
  </w:footnote>
  <w:footnote w:id="10">
    <w:p w14:paraId="35DFED80" w14:textId="4F0FDDFC" w:rsidR="0019688F" w:rsidRDefault="0019688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7316D">
        <w:rPr>
          <w:rFonts w:ascii="Times New Roman" w:hAnsi="Times New Roman" w:cs="Times New Roman"/>
          <w:sz w:val="24"/>
          <w:szCs w:val="24"/>
        </w:rPr>
        <w:t>Metzger 1993,</w:t>
      </w:r>
      <w:r w:rsidRPr="00F731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7316D">
        <w:rPr>
          <w:rFonts w:ascii="Times New Roman" w:hAnsi="Times New Roman" w:cs="Times New Roman"/>
          <w:sz w:val="24"/>
          <w:szCs w:val="24"/>
        </w:rPr>
        <w:t>45</w:t>
      </w:r>
    </w:p>
  </w:footnote>
  <w:footnote w:id="11">
    <w:p w14:paraId="64E58E71" w14:textId="45167A50" w:rsidR="0019688F" w:rsidRDefault="0019688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7316D">
        <w:rPr>
          <w:rFonts w:ascii="Times New Roman" w:hAnsi="Times New Roman" w:cs="Times New Roman"/>
          <w:sz w:val="24"/>
          <w:szCs w:val="24"/>
        </w:rPr>
        <w:t>Metzger 1993,</w:t>
      </w:r>
      <w:r w:rsidRPr="00F731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7316D">
        <w:rPr>
          <w:rFonts w:ascii="Times New Roman" w:hAnsi="Times New Roman" w:cs="Times New Roman"/>
          <w:sz w:val="24"/>
          <w:szCs w:val="24"/>
        </w:rPr>
        <w:t>49</w:t>
      </w:r>
    </w:p>
  </w:footnote>
  <w:footnote w:id="12">
    <w:p w14:paraId="30ADD0A7" w14:textId="4E994CB0" w:rsidR="0019688F" w:rsidRDefault="0019688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7316D">
        <w:rPr>
          <w:rFonts w:ascii="Times New Roman" w:hAnsi="Times New Roman" w:cs="Times New Roman"/>
          <w:sz w:val="24"/>
          <w:szCs w:val="24"/>
        </w:rPr>
        <w:t>Metzger 1993,</w:t>
      </w:r>
      <w:r w:rsidRPr="00F731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7316D">
        <w:rPr>
          <w:rFonts w:ascii="Times New Roman" w:hAnsi="Times New Roman" w:cs="Times New Roman"/>
          <w:sz w:val="24"/>
          <w:szCs w:val="24"/>
        </w:rPr>
        <w:t>42</w:t>
      </w:r>
    </w:p>
  </w:footnote>
  <w:footnote w:id="13">
    <w:p w14:paraId="33524125" w14:textId="5424C56C" w:rsidR="0019688F" w:rsidRDefault="0019688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A646C">
        <w:rPr>
          <w:rFonts w:ascii="Times New Roman" w:hAnsi="Times New Roman" w:cs="Times New Roman"/>
          <w:sz w:val="24"/>
          <w:szCs w:val="24"/>
        </w:rPr>
        <w:t>Grubbs and Perry 2020, 2</w:t>
      </w:r>
    </w:p>
  </w:footnote>
  <w:footnote w:id="14">
    <w:p w14:paraId="1ED40282" w14:textId="2C54D4BD" w:rsidR="0019688F" w:rsidRDefault="0019688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A646C">
        <w:rPr>
          <w:rFonts w:ascii="Times New Roman" w:hAnsi="Times New Roman" w:cs="Times New Roman"/>
          <w:sz w:val="24"/>
          <w:szCs w:val="24"/>
        </w:rPr>
        <w:t>Grubbs and Perry 2020, 3</w:t>
      </w:r>
    </w:p>
  </w:footnote>
  <w:footnote w:id="15">
    <w:p w14:paraId="769ED4D9" w14:textId="6177AB78" w:rsidR="002D4F0F" w:rsidRDefault="002D4F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41AA">
        <w:rPr>
          <w:rFonts w:ascii="Times New Roman" w:hAnsi="Times New Roman" w:cs="Times New Roman"/>
          <w:sz w:val="24"/>
          <w:szCs w:val="24"/>
        </w:rPr>
        <w:t>Grubbs and Perry 2020, 5-6</w:t>
      </w:r>
    </w:p>
  </w:footnote>
  <w:footnote w:id="16">
    <w:p w14:paraId="4B118660" w14:textId="124CE3C5" w:rsidR="002D4F0F" w:rsidRDefault="002D4F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41AA">
        <w:rPr>
          <w:rFonts w:ascii="Times New Roman" w:hAnsi="Times New Roman" w:cs="Times New Roman"/>
          <w:sz w:val="24"/>
          <w:szCs w:val="24"/>
        </w:rPr>
        <w:t>Grubbs and Perry 2020, 6</w:t>
      </w:r>
    </w:p>
  </w:footnote>
  <w:footnote w:id="17">
    <w:p w14:paraId="51A8484E" w14:textId="077913EE" w:rsidR="002D4F0F" w:rsidRDefault="002D4F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41AA">
        <w:rPr>
          <w:rFonts w:ascii="Times New Roman" w:hAnsi="Times New Roman" w:cs="Times New Roman"/>
          <w:sz w:val="24"/>
          <w:szCs w:val="24"/>
        </w:rPr>
        <w:t>Grubbs and Perry 2020, 2</w:t>
      </w:r>
    </w:p>
  </w:footnote>
  <w:footnote w:id="18">
    <w:p w14:paraId="1C82F1CB" w14:textId="45505842" w:rsidR="002D4F0F" w:rsidRDefault="002D4F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41AA">
        <w:rPr>
          <w:rFonts w:ascii="Times New Roman" w:hAnsi="Times New Roman" w:cs="Times New Roman"/>
          <w:sz w:val="24"/>
          <w:szCs w:val="24"/>
        </w:rPr>
        <w:t>Grubbs and Perry 2020, 2</w:t>
      </w:r>
    </w:p>
  </w:footnote>
  <w:footnote w:id="19">
    <w:p w14:paraId="1597602A" w14:textId="2C407266" w:rsidR="002D4F0F" w:rsidRDefault="002D4F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41AA">
        <w:rPr>
          <w:rFonts w:ascii="Times New Roman" w:hAnsi="Times New Roman" w:cs="Times New Roman"/>
          <w:sz w:val="24"/>
          <w:szCs w:val="24"/>
        </w:rPr>
        <w:t>Metzger 1993,</w:t>
      </w:r>
      <w:r w:rsidRPr="004541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541AA">
        <w:rPr>
          <w:rFonts w:ascii="Times New Roman" w:hAnsi="Times New Roman" w:cs="Times New Roman"/>
          <w:sz w:val="24"/>
          <w:szCs w:val="24"/>
        </w:rPr>
        <w:t>36</w:t>
      </w:r>
    </w:p>
  </w:footnote>
  <w:footnote w:id="20">
    <w:p w14:paraId="0DA39EBB" w14:textId="4BA0FEBC" w:rsidR="002D4F0F" w:rsidRDefault="002D4F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12352">
        <w:rPr>
          <w:rFonts w:ascii="Times New Roman" w:hAnsi="Times New Roman" w:cs="Times New Roman"/>
          <w:sz w:val="24"/>
          <w:szCs w:val="24"/>
        </w:rPr>
        <w:t>Metzger 1993,</w:t>
      </w:r>
      <w:r w:rsidRPr="003123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12352">
        <w:rPr>
          <w:rFonts w:ascii="Times New Roman" w:hAnsi="Times New Roman" w:cs="Times New Roman"/>
          <w:sz w:val="24"/>
          <w:szCs w:val="24"/>
        </w:rPr>
        <w:t>42</w:t>
      </w:r>
    </w:p>
  </w:footnote>
  <w:footnote w:id="21">
    <w:p w14:paraId="7DA21E40" w14:textId="0ACFA679" w:rsidR="002D4F0F" w:rsidRDefault="002D4F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41AA">
        <w:rPr>
          <w:rFonts w:ascii="Times New Roman" w:hAnsi="Times New Roman" w:cs="Times New Roman"/>
          <w:sz w:val="24"/>
          <w:szCs w:val="24"/>
        </w:rPr>
        <w:t>Tonstad 2018, 8</w:t>
      </w:r>
    </w:p>
  </w:footnote>
  <w:footnote w:id="22">
    <w:p w14:paraId="194EF5C5" w14:textId="758C1CAA" w:rsidR="002D4F0F" w:rsidRDefault="002D4F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41AA">
        <w:rPr>
          <w:rFonts w:ascii="Times New Roman" w:hAnsi="Times New Roman" w:cs="Times New Roman"/>
          <w:sz w:val="24"/>
          <w:szCs w:val="24"/>
        </w:rPr>
        <w:t>Tonstad 2018, 8</w:t>
      </w:r>
    </w:p>
  </w:footnote>
  <w:footnote w:id="23">
    <w:p w14:paraId="793EA5C1" w14:textId="397AD939" w:rsidR="002D4F0F" w:rsidRDefault="002D4F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41AA">
        <w:rPr>
          <w:rFonts w:ascii="Times New Roman" w:hAnsi="Times New Roman" w:cs="Times New Roman"/>
          <w:sz w:val="24"/>
          <w:szCs w:val="24"/>
        </w:rPr>
        <w:t>Bystryn and Greenberg 1982, 517</w:t>
      </w:r>
    </w:p>
  </w:footnote>
  <w:footnote w:id="24">
    <w:p w14:paraId="735E2856" w14:textId="64F6B938" w:rsidR="002D4F0F" w:rsidRDefault="002D4F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41AA">
        <w:rPr>
          <w:rFonts w:ascii="Times New Roman" w:hAnsi="Times New Roman" w:cs="Times New Roman"/>
          <w:sz w:val="24"/>
          <w:szCs w:val="24"/>
        </w:rPr>
        <w:t>Bystryn and Greenberg 1982, 520</w:t>
      </w:r>
    </w:p>
  </w:footnote>
  <w:footnote w:id="25">
    <w:p w14:paraId="51B6C8BB" w14:textId="7541CD3D" w:rsidR="002D4F0F" w:rsidRDefault="002D4F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41AA">
        <w:rPr>
          <w:rFonts w:ascii="Times New Roman" w:hAnsi="Times New Roman" w:cs="Times New Roman"/>
          <w:sz w:val="24"/>
          <w:szCs w:val="24"/>
        </w:rPr>
        <w:t>Bystryn and Greenberg 1982, 521</w:t>
      </w:r>
    </w:p>
  </w:footnote>
  <w:footnote w:id="26">
    <w:p w14:paraId="710389B2" w14:textId="4CB6EBA2" w:rsidR="002D4F0F" w:rsidRDefault="002D4F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41AA">
        <w:rPr>
          <w:rFonts w:ascii="Times New Roman" w:hAnsi="Times New Roman" w:cs="Times New Roman"/>
          <w:sz w:val="24"/>
          <w:szCs w:val="24"/>
        </w:rPr>
        <w:t>Bystryn and Greenberg 1982, 521</w:t>
      </w:r>
    </w:p>
  </w:footnote>
  <w:footnote w:id="27">
    <w:p w14:paraId="37CE7CDA" w14:textId="78015C6F" w:rsidR="002D4F0F" w:rsidRDefault="002D4F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41AA">
        <w:rPr>
          <w:rFonts w:ascii="Times New Roman" w:hAnsi="Times New Roman" w:cs="Times New Roman"/>
          <w:sz w:val="24"/>
          <w:szCs w:val="24"/>
        </w:rPr>
        <w:t>Bystryn and Greenberg 1982, 521</w:t>
      </w:r>
    </w:p>
  </w:footnote>
  <w:footnote w:id="28">
    <w:p w14:paraId="55A57FFA" w14:textId="39F02183" w:rsidR="002D4F0F" w:rsidRDefault="002D4F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41AA">
        <w:rPr>
          <w:rFonts w:ascii="Times New Roman" w:hAnsi="Times New Roman" w:cs="Times New Roman"/>
          <w:sz w:val="24"/>
          <w:szCs w:val="24"/>
        </w:rPr>
        <w:t>Bystryn and Greenberg 1982, 522-524</w:t>
      </w:r>
    </w:p>
  </w:footnote>
  <w:footnote w:id="29">
    <w:p w14:paraId="2A2A6C5A" w14:textId="49B7A381" w:rsidR="002D4F0F" w:rsidRDefault="002D4F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41AA">
        <w:rPr>
          <w:rFonts w:ascii="Times New Roman" w:hAnsi="Times New Roman" w:cs="Times New Roman"/>
          <w:sz w:val="24"/>
          <w:szCs w:val="24"/>
        </w:rPr>
        <w:t>Bystryn and Greenberg 1982, 524</w:t>
      </w:r>
    </w:p>
  </w:footnote>
  <w:footnote w:id="30">
    <w:p w14:paraId="534FCAE0" w14:textId="7D8AF43F" w:rsidR="002D4F0F" w:rsidRDefault="002D4F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C1E76">
        <w:rPr>
          <w:rFonts w:ascii="Times New Roman" w:hAnsi="Times New Roman" w:cs="Times New Roman"/>
          <w:sz w:val="24"/>
          <w:szCs w:val="24"/>
        </w:rPr>
        <w:t>Bystryn and Greenberg 1982, 528</w:t>
      </w:r>
    </w:p>
  </w:footnote>
  <w:footnote w:id="31">
    <w:p w14:paraId="6E95AF5A" w14:textId="6D7B9A85" w:rsidR="002D4F0F" w:rsidRDefault="002D4F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41AA">
        <w:rPr>
          <w:rFonts w:ascii="Times New Roman" w:hAnsi="Times New Roman" w:cs="Times New Roman"/>
          <w:sz w:val="24"/>
          <w:szCs w:val="24"/>
        </w:rPr>
        <w:t>Tonstad 2018, 8</w:t>
      </w:r>
    </w:p>
  </w:footnote>
  <w:footnote w:id="32">
    <w:p w14:paraId="0E478EA2" w14:textId="0B96DE26" w:rsidR="002D4F0F" w:rsidRDefault="002D4F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41AA">
        <w:rPr>
          <w:rFonts w:ascii="Times New Roman" w:hAnsi="Times New Roman" w:cs="Times New Roman"/>
          <w:sz w:val="24"/>
          <w:szCs w:val="24"/>
        </w:rPr>
        <w:t>Bystryn and Greenberg 1982, 524</w:t>
      </w:r>
    </w:p>
  </w:footnote>
  <w:footnote w:id="33">
    <w:p w14:paraId="5DC422BE" w14:textId="77A13AEC" w:rsidR="002D4F0F" w:rsidRDefault="002D4F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41AA">
        <w:rPr>
          <w:rFonts w:ascii="Times New Roman" w:hAnsi="Times New Roman" w:cs="Times New Roman"/>
          <w:sz w:val="24"/>
          <w:szCs w:val="24"/>
        </w:rPr>
        <w:t>Bystryn and Greenberg 1982, 525</w:t>
      </w:r>
    </w:p>
  </w:footnote>
  <w:footnote w:id="34">
    <w:p w14:paraId="7E085CF2" w14:textId="3DF47EE5" w:rsidR="002D4F0F" w:rsidRDefault="002D4F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D13B7">
        <w:rPr>
          <w:rFonts w:ascii="Times New Roman" w:hAnsi="Times New Roman" w:cs="Times New Roman"/>
          <w:sz w:val="24"/>
          <w:szCs w:val="24"/>
        </w:rPr>
        <w:t>Bystryn and Greenberg 1982, 527</w:t>
      </w:r>
    </w:p>
  </w:footnote>
  <w:footnote w:id="35">
    <w:p w14:paraId="04D692CA" w14:textId="33F4E75E" w:rsidR="002D4F0F" w:rsidRDefault="002D4F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41AA">
        <w:rPr>
          <w:rFonts w:ascii="Times New Roman" w:hAnsi="Times New Roman" w:cs="Times New Roman"/>
          <w:sz w:val="24"/>
          <w:szCs w:val="24"/>
        </w:rPr>
        <w:t>Tonstad 2018, 10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865BC"/>
    <w:multiLevelType w:val="multilevel"/>
    <w:tmpl w:val="5156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4F207D"/>
    <w:multiLevelType w:val="multilevel"/>
    <w:tmpl w:val="4CA0F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ED"/>
    <w:rsid w:val="00012FD4"/>
    <w:rsid w:val="00031F69"/>
    <w:rsid w:val="000A7075"/>
    <w:rsid w:val="000E058D"/>
    <w:rsid w:val="000E4D85"/>
    <w:rsid w:val="0011411F"/>
    <w:rsid w:val="00116563"/>
    <w:rsid w:val="001300C5"/>
    <w:rsid w:val="0014684C"/>
    <w:rsid w:val="00150B9A"/>
    <w:rsid w:val="00190F27"/>
    <w:rsid w:val="0019688F"/>
    <w:rsid w:val="001C0A0B"/>
    <w:rsid w:val="001D4C1A"/>
    <w:rsid w:val="001D5122"/>
    <w:rsid w:val="001D698C"/>
    <w:rsid w:val="001D742E"/>
    <w:rsid w:val="001E2468"/>
    <w:rsid w:val="001F459D"/>
    <w:rsid w:val="001F61AE"/>
    <w:rsid w:val="00243892"/>
    <w:rsid w:val="002622DD"/>
    <w:rsid w:val="00276964"/>
    <w:rsid w:val="00285828"/>
    <w:rsid w:val="00286DD2"/>
    <w:rsid w:val="00291694"/>
    <w:rsid w:val="0029169B"/>
    <w:rsid w:val="002A1D4E"/>
    <w:rsid w:val="002D4F0F"/>
    <w:rsid w:val="002E21F8"/>
    <w:rsid w:val="002F4E06"/>
    <w:rsid w:val="003076AC"/>
    <w:rsid w:val="00312352"/>
    <w:rsid w:val="00327C02"/>
    <w:rsid w:val="0034071B"/>
    <w:rsid w:val="00355CC2"/>
    <w:rsid w:val="0038017F"/>
    <w:rsid w:val="003826D5"/>
    <w:rsid w:val="00383293"/>
    <w:rsid w:val="00394E1A"/>
    <w:rsid w:val="00397339"/>
    <w:rsid w:val="003A16E4"/>
    <w:rsid w:val="003A44A1"/>
    <w:rsid w:val="003C0024"/>
    <w:rsid w:val="003D0A3C"/>
    <w:rsid w:val="003D3EA5"/>
    <w:rsid w:val="003D7FC3"/>
    <w:rsid w:val="003E59C1"/>
    <w:rsid w:val="003F6218"/>
    <w:rsid w:val="00405A9E"/>
    <w:rsid w:val="004241EE"/>
    <w:rsid w:val="0042455C"/>
    <w:rsid w:val="004541AA"/>
    <w:rsid w:val="0045441F"/>
    <w:rsid w:val="004649ED"/>
    <w:rsid w:val="00464CF9"/>
    <w:rsid w:val="00466D6D"/>
    <w:rsid w:val="00472B0D"/>
    <w:rsid w:val="00474160"/>
    <w:rsid w:val="004778CA"/>
    <w:rsid w:val="0048489A"/>
    <w:rsid w:val="004B1878"/>
    <w:rsid w:val="004B21AF"/>
    <w:rsid w:val="004B7D77"/>
    <w:rsid w:val="004E4750"/>
    <w:rsid w:val="004F57BF"/>
    <w:rsid w:val="00504C38"/>
    <w:rsid w:val="0050509B"/>
    <w:rsid w:val="00505DDE"/>
    <w:rsid w:val="005072B3"/>
    <w:rsid w:val="0051580A"/>
    <w:rsid w:val="00522F30"/>
    <w:rsid w:val="00525F62"/>
    <w:rsid w:val="00537850"/>
    <w:rsid w:val="00543F65"/>
    <w:rsid w:val="00547E96"/>
    <w:rsid w:val="00550381"/>
    <w:rsid w:val="005539D0"/>
    <w:rsid w:val="005710E8"/>
    <w:rsid w:val="0057271C"/>
    <w:rsid w:val="005728C2"/>
    <w:rsid w:val="00574238"/>
    <w:rsid w:val="0058191A"/>
    <w:rsid w:val="00582906"/>
    <w:rsid w:val="00594D7B"/>
    <w:rsid w:val="005A646C"/>
    <w:rsid w:val="005E01E2"/>
    <w:rsid w:val="005E4A57"/>
    <w:rsid w:val="005E58B1"/>
    <w:rsid w:val="006177BA"/>
    <w:rsid w:val="006458D6"/>
    <w:rsid w:val="00647AFE"/>
    <w:rsid w:val="00684644"/>
    <w:rsid w:val="006951CE"/>
    <w:rsid w:val="006A1346"/>
    <w:rsid w:val="006B7AD7"/>
    <w:rsid w:val="006D231D"/>
    <w:rsid w:val="006E2270"/>
    <w:rsid w:val="0070066D"/>
    <w:rsid w:val="00712718"/>
    <w:rsid w:val="0072638B"/>
    <w:rsid w:val="00747610"/>
    <w:rsid w:val="0075147E"/>
    <w:rsid w:val="0076281D"/>
    <w:rsid w:val="00770AEB"/>
    <w:rsid w:val="007C0D7D"/>
    <w:rsid w:val="007D673E"/>
    <w:rsid w:val="007E1B17"/>
    <w:rsid w:val="007F4EC0"/>
    <w:rsid w:val="0081513B"/>
    <w:rsid w:val="00822591"/>
    <w:rsid w:val="00832084"/>
    <w:rsid w:val="008662AD"/>
    <w:rsid w:val="008706A8"/>
    <w:rsid w:val="00871356"/>
    <w:rsid w:val="0089199E"/>
    <w:rsid w:val="00892F9F"/>
    <w:rsid w:val="00894597"/>
    <w:rsid w:val="00897D5C"/>
    <w:rsid w:val="008D6D09"/>
    <w:rsid w:val="008E032D"/>
    <w:rsid w:val="008E0E6A"/>
    <w:rsid w:val="008E74D7"/>
    <w:rsid w:val="008F43F0"/>
    <w:rsid w:val="008F6318"/>
    <w:rsid w:val="00913F71"/>
    <w:rsid w:val="00966D0E"/>
    <w:rsid w:val="009777A5"/>
    <w:rsid w:val="00997B54"/>
    <w:rsid w:val="009A2979"/>
    <w:rsid w:val="009A7364"/>
    <w:rsid w:val="009B0591"/>
    <w:rsid w:val="009D1CA9"/>
    <w:rsid w:val="009D6F02"/>
    <w:rsid w:val="009E4F25"/>
    <w:rsid w:val="009F21B9"/>
    <w:rsid w:val="009F63D1"/>
    <w:rsid w:val="00A05D20"/>
    <w:rsid w:val="00A270F6"/>
    <w:rsid w:val="00A410E9"/>
    <w:rsid w:val="00A5580D"/>
    <w:rsid w:val="00A82D65"/>
    <w:rsid w:val="00A8794E"/>
    <w:rsid w:val="00A94F41"/>
    <w:rsid w:val="00AC03BB"/>
    <w:rsid w:val="00AD0B4B"/>
    <w:rsid w:val="00AD13B7"/>
    <w:rsid w:val="00AE1BB2"/>
    <w:rsid w:val="00B001CA"/>
    <w:rsid w:val="00B00DFF"/>
    <w:rsid w:val="00B06933"/>
    <w:rsid w:val="00B755CA"/>
    <w:rsid w:val="00B90234"/>
    <w:rsid w:val="00BA0BC7"/>
    <w:rsid w:val="00BC3AAF"/>
    <w:rsid w:val="00BC4997"/>
    <w:rsid w:val="00BC5922"/>
    <w:rsid w:val="00BC7603"/>
    <w:rsid w:val="00C01854"/>
    <w:rsid w:val="00C156FC"/>
    <w:rsid w:val="00C31412"/>
    <w:rsid w:val="00C31AED"/>
    <w:rsid w:val="00C42F0B"/>
    <w:rsid w:val="00C44627"/>
    <w:rsid w:val="00C7118D"/>
    <w:rsid w:val="00C84874"/>
    <w:rsid w:val="00C86D37"/>
    <w:rsid w:val="00C9543A"/>
    <w:rsid w:val="00CA7112"/>
    <w:rsid w:val="00CD2E30"/>
    <w:rsid w:val="00CD2EE4"/>
    <w:rsid w:val="00CD305B"/>
    <w:rsid w:val="00CE184C"/>
    <w:rsid w:val="00CF1DB6"/>
    <w:rsid w:val="00CF1F11"/>
    <w:rsid w:val="00CF2512"/>
    <w:rsid w:val="00D212FA"/>
    <w:rsid w:val="00D26364"/>
    <w:rsid w:val="00D3542B"/>
    <w:rsid w:val="00D61921"/>
    <w:rsid w:val="00D65C77"/>
    <w:rsid w:val="00D843F6"/>
    <w:rsid w:val="00DA5A88"/>
    <w:rsid w:val="00DD57DA"/>
    <w:rsid w:val="00DF14AF"/>
    <w:rsid w:val="00DF7BFD"/>
    <w:rsid w:val="00E2113B"/>
    <w:rsid w:val="00E61246"/>
    <w:rsid w:val="00E65E44"/>
    <w:rsid w:val="00E727EF"/>
    <w:rsid w:val="00E73F50"/>
    <w:rsid w:val="00E8759B"/>
    <w:rsid w:val="00E87695"/>
    <w:rsid w:val="00EB5B77"/>
    <w:rsid w:val="00EC1E76"/>
    <w:rsid w:val="00EC1F52"/>
    <w:rsid w:val="00EC21E5"/>
    <w:rsid w:val="00EC3316"/>
    <w:rsid w:val="00EE0732"/>
    <w:rsid w:val="00F00ACB"/>
    <w:rsid w:val="00F0781C"/>
    <w:rsid w:val="00F131DE"/>
    <w:rsid w:val="00F14676"/>
    <w:rsid w:val="00F4436A"/>
    <w:rsid w:val="00F5286F"/>
    <w:rsid w:val="00F53025"/>
    <w:rsid w:val="00F56AE4"/>
    <w:rsid w:val="00F7316D"/>
    <w:rsid w:val="00F768CB"/>
    <w:rsid w:val="00F771C7"/>
    <w:rsid w:val="00F831AA"/>
    <w:rsid w:val="00F839A4"/>
    <w:rsid w:val="00FD1F5B"/>
    <w:rsid w:val="00FE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2FE63"/>
  <w15:chartTrackingRefBased/>
  <w15:docId w15:val="{F5F0C8EA-830E-4D7E-851D-440A58EE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46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0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68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8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68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7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CC365-FB9B-47D6-8B13-17872A871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1803</TotalTime>
  <Pages>6</Pages>
  <Words>1474</Words>
  <Characters>8403</Characters>
  <Application>Microsoft Office Word</Application>
  <DocSecurity>0</DocSecurity>
  <Lines>70</Lines>
  <Paragraphs>19</Paragraphs>
  <ScaleCrop>false</ScaleCrop>
  <Company/>
  <LinksUpToDate>false</LinksUpToDate>
  <CharactersWithSpaces>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KatherineMorganCarter@outlook.com</dc:creator>
  <cp:keywords/>
  <dc:description/>
  <cp:lastModifiedBy>KatherineMorganCarter@outlook.com</cp:lastModifiedBy>
  <cp:revision>197</cp:revision>
  <dcterms:created xsi:type="dcterms:W3CDTF">2022-01-20T16:11:00Z</dcterms:created>
  <dcterms:modified xsi:type="dcterms:W3CDTF">2022-01-21T22:14:00Z</dcterms:modified>
</cp:coreProperties>
</file>