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sz w:val="26"/>
        </w:rPr>
        <w:t>INSTITUTO PROFESIONAL DUOC UC</w:t>
      </w:r>
    </w:p>
    <w:p>
      <w:pPr>
        <w:spacing w:after="40" w:before="0"/>
        <w:jc w:val="center"/>
      </w:pPr>
      <w:r>
        <w:rPr>
          <w:b w:val="0"/>
          <w:i w:val="0"/>
          <w:sz w:val="23"/>
        </w:rPr>
        <w:t>Escuela de Informática y Telecomunicaciones — Sede Plaza Norte</w:t>
      </w:r>
    </w:p>
    <w:p>
      <w:pPr>
        <w:spacing w:after="800" w:before="0"/>
        <w:jc w:val="center"/>
      </w:pPr>
      <w:r>
        <w:rPr>
          <w:b w:val="0"/>
          <w:i w:val="0"/>
          <w:sz w:val="23"/>
        </w:rPr>
        <w:t>Ingeniería en Informática</w:t>
      </w:r>
    </w:p>
    <w:p>
      <w:pPr>
        <w:spacing w:after="120" w:before="0"/>
        <w:jc w:val="center"/>
      </w:pPr>
      <w:r>
        <w:rPr>
          <w:b/>
          <w:i w:val="0"/>
          <w:sz w:val="60"/>
        </w:rPr>
        <w:t>PreVet</w:t>
      </w:r>
    </w:p>
    <w:p>
      <w:pPr>
        <w:spacing w:after="200" w:before="0"/>
        <w:jc w:val="center"/>
      </w:pPr>
      <w:r>
        <w:rPr>
          <w:b w:val="0"/>
          <w:i w:val="0"/>
          <w:color w:val="1F3A5F"/>
          <w:sz w:val="30"/>
        </w:rPr>
        <w:t>Sistema predictivo de gestión del riesgo de inasistencia para clínicas veterinarias</w:t>
      </w:r>
    </w:p>
    <w:p>
      <w:pPr>
        <w:spacing w:after="960" w:before="0"/>
        <w:jc w:val="center"/>
      </w:pPr>
      <w:r>
        <w:rPr>
          <w:b w:val="0"/>
          <w:i/>
          <w:sz w:val="24"/>
        </w:rPr>
        <w:t>Definición de Proyecto APT — Fase 1</w:t>
      </w:r>
    </w:p>
    <w:tbl>
      <w:tblPr>
        <w:tblStyle w:val="TableGrid"/>
        <w:tblW w:type="auto" w:w="0"/>
        <w:jc w:val="center"/>
        <w:tblLayout w:type="fixed"/>
        <w:tblLook w:firstColumn="1" w:firstRow="1" w:lastColumn="0" w:lastRow="0" w:noHBand="0" w:noVBand="1" w:val="04A0"/>
      </w:tblPr>
      <w:tblGrid>
        <w:gridCol w:w="4703"/>
        <w:gridCol w:w="4703"/>
      </w:tblGrid>
      <w:tr>
        <w:tc>
          <w:tcPr>
            <w:tcW w:type="dxa" w:w="2600"/>
          </w:tcPr>
          <w:p>
            <w:pPr>
              <w:jc w:val="left"/>
            </w:pPr>
            <w:r>
              <w:rPr>
                <w:sz w:val="22"/>
              </w:rPr>
              <w:t>Asignatura</w:t>
            </w:r>
          </w:p>
        </w:tc>
        <w:tc>
          <w:tcPr>
            <w:tcW w:type="dxa" w:w="6460"/>
          </w:tcPr>
          <w:p>
            <w:pPr>
              <w:jc w:val="left"/>
            </w:pPr>
            <w:r>
              <w:rPr>
                <w:sz w:val="22"/>
              </w:rPr>
              <w:t>Capstone (PTY4614) — Portafolio de Título</w:t>
            </w:r>
          </w:p>
        </w:tc>
      </w:tr>
      <w:tr>
        <w:tc>
          <w:tcPr>
            <w:tcW w:type="dxa" w:w="2600"/>
          </w:tcPr>
          <w:p>
            <w:pPr>
              <w:jc w:val="left"/>
            </w:pPr>
            <w:r>
              <w:rPr>
                <w:sz w:val="22"/>
              </w:rPr>
              <w:t>Sección</w:t>
            </w:r>
          </w:p>
        </w:tc>
        <w:tc>
          <w:tcPr>
            <w:tcW w:type="dxa" w:w="6460"/>
          </w:tcPr>
          <w:p>
            <w:pPr>
              <w:jc w:val="left"/>
            </w:pPr>
            <w:r>
              <w:rPr>
                <w:sz w:val="22"/>
              </w:rPr>
              <w:t>CAPSTONE_007V</w:t>
            </w:r>
          </w:p>
        </w:tc>
      </w:tr>
      <w:tr>
        <w:tc>
          <w:tcPr>
            <w:tcW w:type="dxa" w:w="2600"/>
          </w:tcPr>
          <w:p>
            <w:pPr>
              <w:jc w:val="left"/>
            </w:pPr>
            <w:r>
              <w:rPr>
                <w:sz w:val="22"/>
              </w:rPr>
              <w:t>Docente</w:t>
            </w:r>
          </w:p>
        </w:tc>
        <w:tc>
          <w:tcPr>
            <w:tcW w:type="dxa" w:w="6460"/>
          </w:tcPr>
          <w:p>
            <w:pPr>
              <w:jc w:val="left"/>
            </w:pPr>
            <w:r>
              <w:rPr>
                <w:sz w:val="22"/>
              </w:rPr>
              <w:t>Juan Alberto Gana Reyes</w:t>
            </w:r>
          </w:p>
        </w:tc>
      </w:tr>
      <w:tr>
        <w:tc>
          <w:tcPr>
            <w:tcW w:type="dxa" w:w="2600"/>
          </w:tcPr>
          <w:p>
            <w:pPr>
              <w:jc w:val="left"/>
            </w:pPr>
            <w:r>
              <w:rPr>
                <w:sz w:val="22"/>
              </w:rPr>
              <w:t>Integrantes</w:t>
            </w:r>
          </w:p>
        </w:tc>
        <w:tc>
          <w:tcPr>
            <w:tcW w:type="dxa" w:w="6460"/>
          </w:tcPr>
          <w:p>
            <w:pPr>
              <w:jc w:val="left"/>
            </w:pPr>
            <w:r>
              <w:rPr>
                <w:sz w:val="22"/>
              </w:rPr>
              <w:t>Katalina Alejandra Mora Quiñones</w:t>
              <w:br/>
              <w:t>Uciell Madrid</w:t>
            </w:r>
          </w:p>
        </w:tc>
      </w:tr>
      <w:tr>
        <w:tc>
          <w:tcPr>
            <w:tcW w:type="dxa" w:w="2600"/>
          </w:tcPr>
          <w:p>
            <w:pPr>
              <w:jc w:val="left"/>
            </w:pPr>
            <w:r>
              <w:rPr>
                <w:sz w:val="22"/>
              </w:rPr>
              <w:t>Sede</w:t>
            </w:r>
          </w:p>
        </w:tc>
        <w:tc>
          <w:tcPr>
            <w:tcW w:type="dxa" w:w="6460"/>
          </w:tcPr>
          <w:p>
            <w:pPr>
              <w:jc w:val="left"/>
            </w:pPr>
            <w:r>
              <w:rPr>
                <w:sz w:val="22"/>
              </w:rPr>
              <w:t>Plaza Norte — Jornada vespertina</w:t>
            </w:r>
          </w:p>
        </w:tc>
      </w:tr>
      <w:tr>
        <w:tc>
          <w:tcPr>
            <w:tcW w:type="dxa" w:w="2600"/>
          </w:tcPr>
          <w:p>
            <w:pPr>
              <w:jc w:val="left"/>
            </w:pPr>
            <w:r>
              <w:rPr>
                <w:sz w:val="22"/>
              </w:rPr>
              <w:t>Fecha</w:t>
            </w:r>
          </w:p>
        </w:tc>
        <w:tc>
          <w:tcPr>
            <w:tcW w:type="dxa" w:w="6460"/>
          </w:tcPr>
          <w:p>
            <w:pPr>
              <w:jc w:val="left"/>
            </w:pPr>
            <w:r>
              <w:rPr>
                <w:sz w:val="22"/>
              </w:rPr>
              <w:t>22 de agosto de 2026</w:t>
            </w:r>
          </w:p>
        </w:tc>
      </w:tr>
    </w:tbl>
    <w:p>
      <w:pPr>
        <w:spacing w:after="120"/>
      </w:pPr>
    </w:p>
    <w:p>
      <w:r>
        <w:br w:type="page"/>
      </w:r>
    </w:p>
    <w:p>
      <w:pPr>
        <w:pStyle w:val="Heading1"/>
      </w:pPr>
      <w:r>
        <w:t>Índice</w:t>
      </w:r>
    </w:p>
    <w:p>
      <w:fldSimple w:instr="TOC \o &quot;1-3&quot; \h \z \u" w:dirty="true">
        <w:r>
          <w:t>Actualizando índice…</w:t>
        </w:r>
      </w:fldSimple>
    </w:p>
    <w:p/>
    <w:p>
      <w:r>
        <w:br w:type="page"/>
      </w:r>
    </w:p>
    <w:p>
      <w:pPr>
        <w:pStyle w:val="Heading1"/>
      </w:pPr>
      <w:r>
        <w:t>Resumen</w:t>
      </w:r>
    </w:p>
    <w:p>
      <w:pPr>
        <w:spacing w:after="120" w:before="0"/>
      </w:pPr>
      <w:r>
        <w:rPr>
          <w:b w:val="0"/>
          <w:i w:val="0"/>
          <w:sz w:val="22"/>
        </w:rPr>
        <w:t>Las clínicas veterinarias de menor tamaño gestionan sus horas de atención mediante canales informales —llamada telefónica, WhatsApp e Instagram—, lo que impide registrar de forma estructurada la información de su agenda. Como consecuencia, la inasistencia de clientes a las horas reservadas no puede ser medida ni gestionada, generando pérdidas operacionales y económicas que la organización no logra cuantificar. Este proyecto propone el desarrollo de PreVet, un módulo de análisis predictivo construido como extensión del sistema de gestión veterinaria Huellitas, que estructura los datos del proceso de agendamiento, construye indicadores de gestión y estima la probabilidad de inasistencia de cada hora agendada, entregando a la clínica un tablero con las horas en riesgo y una acción recomendada para cada una. El componente innovador reside en el traslado de los modelos de predicción de inasistencia, validados en el ámbito de la salud humana, a un sector que no los ha incorporado: la totalidad de las soluciones disponibles en el mercado chileno responde al problema mediante recordatorios uniformes, sin diferenciar el riesgo de cada reserva. El proyecto se desarrolla bajo la metodología CRISP-DM, complementada con un marco ágil de gestión, y se sitúa en clínicas veterinarias de las localidades de Lo Pinto y Batuco, Región Metropolitana.</w:t>
      </w:r>
    </w:p>
    <w:p>
      <w:pPr>
        <w:spacing w:after="120" w:before="120"/>
      </w:pPr>
      <w:r>
        <w:rPr>
          <w:b w:val="0"/>
          <w:i/>
          <w:sz w:val="22"/>
        </w:rPr>
        <w:t>Palabras clave: análisis de datos, gestión de riesgos, inasistencia, modelo predictivo, inteligencia de negocios, clínicas veterinarias.</w:t>
      </w:r>
    </w:p>
    <w:p>
      <w:pPr>
        <w:pStyle w:val="Heading1"/>
      </w:pPr>
      <w:r>
        <w:t>Abstract</w:t>
      </w:r>
    </w:p>
    <w:p>
      <w:pPr>
        <w:spacing w:after="120" w:before="0"/>
      </w:pPr>
      <w:r>
        <w:rPr>
          <w:b w:val="0"/>
          <w:i w:val="0"/>
          <w:sz w:val="22"/>
        </w:rPr>
        <w:t>Small veterinary clinics manage their appointments through informal channels —phone calls, WhatsApp and Instagram— which prevents them from recording scheduling information in a structured way. As a result, client no-shows cannot be measured or managed, producing operational and financial losses that the organisation is unable to quantify. This project proposes the development of PreVet, a predictive analytics module built as an extension of the Huellitas veterinary management system, which structures the scheduling process data, builds management indicators and estimates the probability of non-attendance for each booked appointment, providing the clinic with a dashboard displaying at-risk appointments together with a recommended action for each one. The innovative component lies in transferring no-show prediction models, already validated in human healthcare, to a sector that has not yet adopted them: every solution available in the Chilean market addresses the problem through uniform reminders, without differentiating the risk of each booking. The project follows the CRISP-DM methodology, complemented by an agile management framework, and is situated in veterinary clinics located in Lo Pinto and Batuco, Metropolitan Region of Chile.</w:t>
      </w:r>
    </w:p>
    <w:p>
      <w:pPr>
        <w:spacing w:after="120" w:before="120"/>
      </w:pPr>
      <w:r>
        <w:rPr>
          <w:b w:val="0"/>
          <w:i/>
          <w:sz w:val="22"/>
        </w:rPr>
        <w:t>Keywords: data analysis, risk management, no-show, predictive model, business intelligence, veterinary clinics.</w:t>
      </w:r>
    </w:p>
    <w:p>
      <w:r>
        <w:br w:type="page"/>
      </w:r>
    </w:p>
    <w:p>
      <w:pPr>
        <w:pStyle w:val="Heading1"/>
      </w:pPr>
      <w:r>
        <w:t>1. Introducción</w:t>
      </w:r>
    </w:p>
    <w:p>
      <w:pPr>
        <w:spacing w:after="120" w:before="0"/>
      </w:pPr>
      <w:r>
        <w:rPr>
          <w:b w:val="0"/>
          <w:i w:val="0"/>
          <w:sz w:val="22"/>
        </w:rPr>
        <w:t>El presente informe corresponde a la definición del Proyecto APT desarrollado en el marco de la asignatura Capstone (PTY4614) de la carrera Ingeniería en Informática del Instituto Profesional Duoc UC. Su propósito es fundamentar la propuesta de proyecto, establecer su relevancia para el campo laboral de la disciplina, justificar su pertinencia respecto del perfil de egreso y argumentar su factibilidad dentro del período académico.</w:t>
      </w:r>
    </w:p>
    <w:p>
      <w:pPr>
        <w:spacing w:after="120" w:before="0"/>
      </w:pPr>
      <w:r>
        <w:rPr>
          <w:b w:val="0"/>
          <w:i w:val="0"/>
          <w:sz w:val="22"/>
        </w:rPr>
        <w:t>El proyecto aborda una problemática identificada mediante observación directa en clínicas veterinarias de pequeño tamaño de la zona norte de la Región Metropolitana. La propuesta consiste en el desarrollo de un sistema de análisis predictivo orientado a la gestión del riesgo de inasistencia de clientes, entendido como un problema de datos y de gestión antes que como un problema de comunicación.</w:t>
      </w:r>
    </w:p>
    <w:p>
      <w:pPr>
        <w:spacing w:after="120" w:before="0"/>
      </w:pPr>
      <w:r>
        <w:rPr>
          <w:b w:val="0"/>
          <w:i w:val="0"/>
          <w:sz w:val="22"/>
        </w:rPr>
        <w:t>El documento se organiza en cuatro partes. La primera desarrolla la ingeniería del proyecto: problema, contexto, solución propuesta, componente innovador, arquitectura y metodología. La segunda establece la relación del proyecto con el perfil de egreso y con los intereses profesionales del equipo. La tercera presenta el análisis de factibilidad y la planificación. Finalmente se presentan las conclusiones individuales y la reflexión del equipo, redactadas en idioma inglés conforme a lo requerido por la asignatura.</w:t>
      </w:r>
    </w:p>
    <w:p>
      <w:pPr>
        <w:pStyle w:val="Heading1"/>
      </w:pPr>
      <w:r>
        <w:t>2. Desarrollo de ingeniería</w:t>
      </w:r>
    </w:p>
    <w:p>
      <w:pPr>
        <w:pStyle w:val="Heading2"/>
      </w:pPr>
      <w:r>
        <w:t>2.1 Planteamiento del problema</w:t>
      </w:r>
    </w:p>
    <w:p>
      <w:pPr>
        <w:spacing w:after="120" w:before="0"/>
      </w:pPr>
      <w:r>
        <w:rPr>
          <w:b w:val="0"/>
          <w:i w:val="0"/>
          <w:sz w:val="22"/>
        </w:rPr>
        <w:t>Las clínicas veterinarias de menor tamaño gestionan la totalidad de su agenda mediante canales informales. La solicitud, confirmación y cancelación de horas se realiza por llamada telefónica o mensajería instantánea, y el registro queda habitualmente en un cuaderno o en una planilla no estructurada. Esta forma de operación genera dos problemas encadenados.</w:t>
      </w:r>
    </w:p>
    <w:p>
      <w:pPr>
        <w:spacing w:after="120" w:before="0"/>
      </w:pPr>
      <w:r>
        <w:rPr>
          <w:b w:val="0"/>
          <w:i w:val="0"/>
          <w:sz w:val="22"/>
        </w:rPr>
        <w:t>El primero es la inasistencia de clientes, conocida en la literatura de gestión como no-show: horas reservadas a las que el tutor no se presenta y que no alcanzan a ser reasignadas. Cada inasistencia se traduce en un box desocupado, un profesional sin atender y un ingreso que no se recupera, además de impedir que otro paciente acceda a ese bloque.</w:t>
      </w:r>
    </w:p>
    <w:p>
      <w:pPr>
        <w:spacing w:after="120" w:before="0"/>
      </w:pPr>
      <w:r>
        <w:rPr>
          <w:b w:val="0"/>
          <w:i w:val="0"/>
          <w:sz w:val="22"/>
        </w:rPr>
        <w:t>El segundo problema, de carácter estructural, es que la ausencia de registro impide medir el fenómeno. La clínica no puede determinar cuántas horas pierde en un período, qué patrones siguen esas pérdidas ni cuánto representan económicamente. Un problema que no se mide no puede gestionarse, y esta es la carencia que el proyecto aborda en primer término.</w:t>
      </w:r>
    </w:p>
    <w:p>
      <w:pPr>
        <w:pStyle w:val="Heading2"/>
      </w:pPr>
      <w:r>
        <w:t>2.2 Contexto y localización</w:t>
      </w:r>
    </w:p>
    <w:p>
      <w:pPr>
        <w:spacing w:after="120" w:before="0"/>
      </w:pPr>
      <w:r>
        <w:rPr>
          <w:b w:val="0"/>
          <w:i w:val="0"/>
          <w:sz w:val="22"/>
        </w:rPr>
        <w:t>El proyecto se sitúa en clínicas veterinarias de pequeño tamaño de las localidades de Lo Pinto y Batuco, en la zona norte de la Región Metropolitana. El caso principal de estudio corresponde a la Clínica Veterinaria Clan, establecimiento periurbano atendido por un equipo reducido y situado fuera del radio de influencia de las grandes cadenas veterinarias del país.</w:t>
      </w:r>
    </w:p>
    <w:p>
      <w:pPr>
        <w:spacing w:after="120" w:before="0"/>
      </w:pPr>
      <w:r>
        <w:rPr>
          <w:b w:val="0"/>
          <w:i w:val="0"/>
          <w:sz w:val="22"/>
        </w:rPr>
        <w:t>La magnitud del sector respalda la relevancia del problema. En Chile existen 12.482.679 perros y gatos con tutor, de los cuales el 65% asiste a una consulta veterinaria al menos una vez al año. El mercado de cuidado de mascotas alcanzó los USD 1.942 millones en 2024, y durante 2025 los establecimientos veterinarios registraron un crecimiento del 22% en la Región Metropolitana.</w:t>
      </w:r>
    </w:p>
    <w:p>
      <w:pPr>
        <w:pStyle w:val="Heading2"/>
      </w:pPr>
      <w:r>
        <w:t>2.3 Análisis de la situación actual y brecha identificada</w:t>
      </w:r>
    </w:p>
    <w:p>
      <w:pPr>
        <w:spacing w:after="120" w:before="0"/>
      </w:pPr>
      <w:r>
        <w:rPr>
          <w:b w:val="0"/>
          <w:i w:val="0"/>
          <w:sz w:val="22"/>
        </w:rPr>
        <w:t>El mercado chileno cuenta con oferta tecnológica para la gestión veterinaria. La revisión de las soluciones disponibles arroja el siguiente panorama: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700"/>
            <w:shd w:val="clear" w:color="auto" w:fill="D9E2EC"/>
          </w:tcPr>
          <w:p>
            <w:r>
              <w:rPr>
                <w:b/>
                <w:sz w:val="19"/>
              </w:rPr>
              <w:t>Solución</w:t>
            </w:r>
          </w:p>
        </w:tc>
        <w:tc>
          <w:tcPr>
            <w:tcW w:type="dxa" w:w="3680"/>
            <w:shd w:val="clear" w:color="auto" w:fill="D9E2EC"/>
          </w:tcPr>
          <w:p>
            <w:r>
              <w:rPr>
                <w:b/>
                <w:sz w:val="19"/>
              </w:rPr>
              <w:t>Enfoque</w:t>
            </w:r>
          </w:p>
        </w:tc>
        <w:tc>
          <w:tcPr>
            <w:tcW w:type="dxa" w:w="3680"/>
            <w:shd w:val="clear" w:color="auto" w:fill="D9E2EC"/>
          </w:tcPr>
          <w:p>
            <w:r>
              <w:rPr>
                <w:b/>
                <w:sz w:val="19"/>
              </w:rPr>
              <w:t>Tratamiento de la inasistencia</w:t>
            </w:r>
          </w:p>
        </w:tc>
      </w:tr>
      <w:tr>
        <w:tc>
          <w:tcPr>
            <w:tcW w:type="dxa" w:w="1700"/>
          </w:tcPr>
          <w:p>
            <w:pPr>
              <w:jc w:val="left"/>
            </w:pPr>
            <w:r>
              <w:rPr>
                <w:sz w:val="19"/>
              </w:rPr>
              <w:t>Wirevet</w:t>
            </w:r>
          </w:p>
        </w:tc>
        <w:tc>
          <w:tcPr>
            <w:tcW w:type="dxa" w:w="3680"/>
          </w:tcPr>
          <w:p>
            <w:pPr>
              <w:jc w:val="left"/>
            </w:pPr>
            <w:r>
              <w:rPr>
                <w:sz w:val="19"/>
              </w:rPr>
              <w:t>Software integral de gestión clínica. Más de 240 clínicas usuarias. Planes desde $59.990 mensuales.</w:t>
            </w:r>
          </w:p>
        </w:tc>
        <w:tc>
          <w:tcPr>
            <w:tcW w:type="dxa" w:w="3680"/>
          </w:tcPr>
          <w:p>
            <w:pPr>
              <w:jc w:val="left"/>
            </w:pPr>
            <w:r>
              <w:rPr>
                <w:sz w:val="19"/>
              </w:rPr>
              <w:t>Recordatorio automático por WhatsApp, uniforme para todos los clientes.</w:t>
            </w:r>
          </w:p>
        </w:tc>
      </w:tr>
      <w:tr>
        <w:tc>
          <w:tcPr>
            <w:tcW w:type="dxa" w:w="1700"/>
          </w:tcPr>
          <w:p>
            <w:pPr>
              <w:jc w:val="left"/>
            </w:pPr>
            <w:r>
              <w:rPr>
                <w:sz w:val="19"/>
              </w:rPr>
              <w:t>GVET</w:t>
            </w:r>
          </w:p>
        </w:tc>
        <w:tc>
          <w:tcPr>
            <w:tcW w:type="dxa" w:w="3680"/>
          </w:tcPr>
          <w:p>
            <w:pPr>
              <w:jc w:val="left"/>
            </w:pPr>
            <w:r>
              <w:rPr>
                <w:sz w:val="19"/>
              </w:rPr>
              <w:t>Gestión de clínicas y petshops, con aplicación para el cliente final.</w:t>
            </w:r>
          </w:p>
        </w:tc>
        <w:tc>
          <w:tcPr>
            <w:tcW w:type="dxa" w:w="3680"/>
          </w:tcPr>
          <w:p>
            <w:pPr>
              <w:jc w:val="left"/>
            </w:pPr>
            <w:r>
              <w:rPr>
                <w:sz w:val="19"/>
              </w:rPr>
              <w:t>Avisos y recordatorios por WhatsApp, sin diferenciación.</w:t>
            </w:r>
          </w:p>
        </w:tc>
      </w:tr>
      <w:tr>
        <w:tc>
          <w:tcPr>
            <w:tcW w:type="dxa" w:w="1700"/>
          </w:tcPr>
          <w:p>
            <w:pPr>
              <w:jc w:val="left"/>
            </w:pPr>
            <w:r>
              <w:rPr>
                <w:sz w:val="19"/>
              </w:rPr>
              <w:t>VeteSoft</w:t>
            </w:r>
          </w:p>
        </w:tc>
        <w:tc>
          <w:tcPr>
            <w:tcW w:type="dxa" w:w="3680"/>
          </w:tcPr>
          <w:p>
            <w:pPr>
              <w:jc w:val="left"/>
            </w:pPr>
            <w:r>
              <w:rPr>
                <w:sz w:val="19"/>
              </w:rPr>
              <w:t>Plataforma en la nube con módulos de agenda, facturación e inventario.</w:t>
            </w:r>
          </w:p>
        </w:tc>
        <w:tc>
          <w:tcPr>
            <w:tcW w:type="dxa" w:w="3680"/>
          </w:tcPr>
          <w:p>
            <w:pPr>
              <w:jc w:val="left"/>
            </w:pPr>
            <w:r>
              <w:rPr>
                <w:sz w:val="19"/>
              </w:rPr>
              <w:t>Recordatorios automáticos programados.</w:t>
            </w:r>
          </w:p>
        </w:tc>
      </w:tr>
      <w:tr>
        <w:tc>
          <w:tcPr>
            <w:tcW w:type="dxa" w:w="1700"/>
          </w:tcPr>
          <w:p>
            <w:pPr>
              <w:jc w:val="left"/>
            </w:pPr>
            <w:r>
              <w:rPr>
                <w:sz w:val="19"/>
              </w:rPr>
              <w:t>Ponkis, Okvet, PawZone</w:t>
            </w:r>
          </w:p>
        </w:tc>
        <w:tc>
          <w:tcPr>
            <w:tcW w:type="dxa" w:w="3680"/>
          </w:tcPr>
          <w:p>
            <w:pPr>
              <w:jc w:val="left"/>
            </w:pPr>
            <w:r>
              <w:rPr>
                <w:sz w:val="19"/>
              </w:rPr>
              <w:t>Soluciones de gestión clínica de menor escala.</w:t>
            </w:r>
          </w:p>
        </w:tc>
        <w:tc>
          <w:tcPr>
            <w:tcW w:type="dxa" w:w="3680"/>
          </w:tcPr>
          <w:p>
            <w:pPr>
              <w:jc w:val="left"/>
            </w:pPr>
            <w:r>
              <w:rPr>
                <w:sz w:val="19"/>
              </w:rPr>
              <w:t>Recordatorios automáticos programados.</w:t>
            </w:r>
          </w:p>
        </w:tc>
      </w:tr>
    </w:tbl>
    <w:p>
      <w:pPr>
        <w:spacing w:after="120"/>
      </w:pPr>
    </w:p>
    <w:p>
      <w:pPr>
        <w:spacing w:after="120" w:before="0"/>
      </w:pPr>
      <w:r>
        <w:rPr>
          <w:b w:val="0"/>
          <w:i w:val="0"/>
          <w:sz w:val="22"/>
        </w:rPr>
        <w:t>Del análisis se desprenden dos conclusiones. La primera es que existe una brecha de adopción: las soluciones están orientadas a establecimientos medianos y grandes de zonas urbanas centrales, y sus condiciones de precio las alejan de las clínicas pequeñas, que continúan operando por canales informales. La segunda, y determinante para este proyecto, es que la totalidad de las soluciones revisadas aborda la inasistencia de la misma manera: enviando un recordatorio idéntico a todos los clientes. Se trata de una respuesta reactiva y no diferenciada. Ninguna estima la probabilidad de que una reserva específica se pierda, ni recomienda acciones distintas según ese riesgo.</w:t>
      </w:r>
    </w:p>
    <w:p>
      <w:pPr>
        <w:spacing w:after="120" w:before="0"/>
      </w:pPr>
      <w:r>
        <w:rPr>
          <w:b w:val="0"/>
          <w:i w:val="0"/>
          <w:sz w:val="22"/>
        </w:rPr>
        <w:t>El proyecto cuenta además con un punto de partida propio. Se dispone de Huellitas, un sistema de gestión para clínicas veterinarias desarrollado previamente en Django 4.2, que comprende nueve módulos: usuarios y roles, mascotas, agenda de citas, historial clínico, vacunas, búsqueda por síntomas, inventario, adopciones y reportes. Su agendamiento no permite escribir horas a mano: el sistema calcula y ofrece los bloques disponibles a partir de los horarios de atención de cada profesional.</w:t>
      </w:r>
    </w:p>
    <w:p>
      <w:pPr>
        <w:spacing w:after="120" w:before="0"/>
      </w:pPr>
      <w:r>
        <w:rPr>
          <w:b w:val="0"/>
          <w:i w:val="0"/>
          <w:sz w:val="22"/>
        </w:rPr>
        <w:t>El análisis de ese sistema base revela con precisión la carencia que este proyecto aborda. El modelo de citas contempla únicamente tres estados —pendiente, completada y cancelada—, sin ninguno que registre la inasistencia. Cuando un tutor no se presenta, la cita permanece indefinidamente como pendiente: no fue completada, pero tampoco cancelada. En consecuencia, el sistema no puede contabilizar las inasistencias, y su módulo de reportes, que presenta consultas por mes y distribución de pacientes por especie, tampoco las considera. El sistema base gestiona la agenda, pero es incapaz de medir su pérdida. Esa es exactamente la brecha que PreVet viene a cerrar.</w:t>
      </w:r>
    </w:p>
    <w:p>
      <w:pPr>
        <w:pStyle w:val="Heading2"/>
      </w:pPr>
      <w:r>
        <w:t>2.4 Componente innovador de la propuesta</w:t>
      </w:r>
    </w:p>
    <w:p>
      <w:pPr>
        <w:spacing w:after="120" w:before="0"/>
      </w:pPr>
      <w:r>
        <w:rPr>
          <w:b w:val="0"/>
          <w:i w:val="0"/>
          <w:sz w:val="22"/>
        </w:rPr>
        <w:t>La innovación del proyecto consiste en trasladar los modelos de predicción de inasistencia —ampliamente estudiados y validados en el ámbito de la salud humana— a un sector que aún no los ha incorporado, transformando la gestión de la agenda veterinaria desde un enfoque reactivo hacia uno predictivo y de apoyo a la decisión.</w:t>
      </w:r>
    </w:p>
    <w:p>
      <w:pPr>
        <w:spacing w:after="120" w:before="0"/>
      </w:pPr>
      <w:r>
        <w:rPr>
          <w:b w:val="0"/>
          <w:i w:val="0"/>
          <w:sz w:val="22"/>
        </w:rPr>
        <w:t>La diferencia operacional se resume en el siguiente contraste: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00"/>
            <w:shd w:val="clear" w:color="auto" w:fill="D9E2EC"/>
          </w:tcPr>
          <w:p>
            <w:r>
              <w:rPr>
                <w:b/>
                <w:sz w:val="19"/>
              </w:rPr>
              <w:t>Dimensión</w:t>
            </w:r>
          </w:p>
        </w:tc>
        <w:tc>
          <w:tcPr>
            <w:tcW w:type="dxa" w:w="3580"/>
            <w:shd w:val="clear" w:color="auto" w:fill="D9E2EC"/>
          </w:tcPr>
          <w:p>
            <w:r>
              <w:rPr>
                <w:b/>
                <w:sz w:val="19"/>
              </w:rPr>
              <w:t>Situación actual del mercado</w:t>
            </w:r>
          </w:p>
        </w:tc>
        <w:tc>
          <w:tcPr>
            <w:tcW w:type="dxa" w:w="3580"/>
            <w:shd w:val="clear" w:color="auto" w:fill="D9E2EC"/>
          </w:tcPr>
          <w:p>
            <w:r>
              <w:rPr>
                <w:b/>
                <w:sz w:val="19"/>
              </w:rPr>
              <w:t>Propuesta PreVet</w:t>
            </w:r>
          </w:p>
        </w:tc>
      </w:tr>
      <w:tr>
        <w:tc>
          <w:tcPr>
            <w:tcW w:type="dxa" w:w="1900"/>
          </w:tcPr>
          <w:p>
            <w:pPr>
              <w:jc w:val="left"/>
            </w:pPr>
            <w:r>
              <w:rPr>
                <w:sz w:val="19"/>
              </w:rPr>
              <w:t>Momento de la acción</w:t>
            </w:r>
          </w:p>
        </w:tc>
        <w:tc>
          <w:tcPr>
            <w:tcW w:type="dxa" w:w="3580"/>
          </w:tcPr>
          <w:p>
            <w:pPr>
              <w:jc w:val="left"/>
            </w:pPr>
            <w:r>
              <w:rPr>
                <w:sz w:val="19"/>
              </w:rPr>
              <w:t>Posterior a la reserva, sin evaluación previa.</w:t>
            </w:r>
          </w:p>
        </w:tc>
        <w:tc>
          <w:tcPr>
            <w:tcW w:type="dxa" w:w="3580"/>
          </w:tcPr>
          <w:p>
            <w:pPr>
              <w:jc w:val="left"/>
            </w:pPr>
            <w:r>
              <w:rPr>
                <w:sz w:val="19"/>
              </w:rPr>
              <w:t>Anticipado, al momento de registrarse la reserva.</w:t>
            </w:r>
          </w:p>
        </w:tc>
      </w:tr>
      <w:tr>
        <w:tc>
          <w:tcPr>
            <w:tcW w:type="dxa" w:w="1900"/>
          </w:tcPr>
          <w:p>
            <w:pPr>
              <w:jc w:val="left"/>
            </w:pPr>
            <w:r>
              <w:rPr>
                <w:sz w:val="19"/>
              </w:rPr>
              <w:t>Criterio</w:t>
            </w:r>
          </w:p>
        </w:tc>
        <w:tc>
          <w:tcPr>
            <w:tcW w:type="dxa" w:w="3580"/>
          </w:tcPr>
          <w:p>
            <w:pPr>
              <w:jc w:val="left"/>
            </w:pPr>
            <w:r>
              <w:rPr>
                <w:sz w:val="19"/>
              </w:rPr>
              <w:t>Ninguno: todos los clientes reciben el mismo mensaje.</w:t>
            </w:r>
          </w:p>
        </w:tc>
        <w:tc>
          <w:tcPr>
            <w:tcW w:type="dxa" w:w="3580"/>
          </w:tcPr>
          <w:p>
            <w:pPr>
              <w:jc w:val="left"/>
            </w:pPr>
            <w:r>
              <w:rPr>
                <w:sz w:val="19"/>
              </w:rPr>
              <w:t>Probabilidad estimada de inasistencia por reserva.</w:t>
            </w:r>
          </w:p>
        </w:tc>
      </w:tr>
      <w:tr>
        <w:tc>
          <w:tcPr>
            <w:tcW w:type="dxa" w:w="1900"/>
          </w:tcPr>
          <w:p>
            <w:pPr>
              <w:jc w:val="left"/>
            </w:pPr>
            <w:r>
              <w:rPr>
                <w:sz w:val="19"/>
              </w:rPr>
              <w:t>Resultado entregado</w:t>
            </w:r>
          </w:p>
        </w:tc>
        <w:tc>
          <w:tcPr>
            <w:tcW w:type="dxa" w:w="3580"/>
          </w:tcPr>
          <w:p>
            <w:pPr>
              <w:jc w:val="left"/>
            </w:pPr>
            <w:r>
              <w:rPr>
                <w:sz w:val="19"/>
              </w:rPr>
              <w:t>Un recordatorio.</w:t>
            </w:r>
          </w:p>
        </w:tc>
        <w:tc>
          <w:tcPr>
            <w:tcW w:type="dxa" w:w="3580"/>
          </w:tcPr>
          <w:p>
            <w:pPr>
              <w:jc w:val="left"/>
            </w:pPr>
            <w:r>
              <w:rPr>
                <w:sz w:val="19"/>
              </w:rPr>
              <w:t>Clasificación de riesgo y acción recomendada.</w:t>
            </w:r>
          </w:p>
        </w:tc>
      </w:tr>
      <w:tr>
        <w:tc>
          <w:tcPr>
            <w:tcW w:type="dxa" w:w="1900"/>
          </w:tcPr>
          <w:p>
            <w:pPr>
              <w:jc w:val="left"/>
            </w:pPr>
            <w:r>
              <w:rPr>
                <w:sz w:val="19"/>
              </w:rPr>
              <w:t>Uso de datos históricos</w:t>
            </w:r>
          </w:p>
        </w:tc>
        <w:tc>
          <w:tcPr>
            <w:tcW w:type="dxa" w:w="3580"/>
          </w:tcPr>
          <w:p>
            <w:pPr>
              <w:jc w:val="left"/>
            </w:pPr>
            <w:r>
              <w:rPr>
                <w:sz w:val="19"/>
              </w:rPr>
              <w:t>No se utilizan.</w:t>
            </w:r>
          </w:p>
        </w:tc>
        <w:tc>
          <w:tcPr>
            <w:tcW w:type="dxa" w:w="3580"/>
          </w:tcPr>
          <w:p>
            <w:pPr>
              <w:jc w:val="left"/>
            </w:pPr>
            <w:r>
              <w:rPr>
                <w:sz w:val="19"/>
              </w:rPr>
              <w:t>Variables de comportamiento previo, anticipación, día, bloque y tipo de atención.</w:t>
            </w:r>
          </w:p>
        </w:tc>
      </w:tr>
    </w:tbl>
    <w:p>
      <w:pPr>
        <w:spacing w:after="120"/>
      </w:pPr>
    </w:p>
    <w:p>
      <w:pPr>
        <w:pStyle w:val="Heading2"/>
      </w:pPr>
      <w:r>
        <w:t>2.5 Solución propuesta</w:t>
      </w:r>
    </w:p>
    <w:p>
      <w:pPr>
        <w:spacing w:after="120" w:before="0"/>
      </w:pPr>
      <w:r>
        <w:rPr>
          <w:b w:val="0"/>
          <w:i w:val="0"/>
          <w:sz w:val="22"/>
        </w:rPr>
        <w:t>PreVet se desarrolla en cinco etapas sucesivas, cada una de las cuales resuelve una carencia concreta del proceso actual:</w:t>
      </w:r>
    </w:p>
    <w:p>
      <w:pPr>
        <w:pStyle w:val="ListBullet"/>
        <w:spacing w:after="60"/>
        <w:jc w:val="both"/>
      </w:pPr>
      <w:r>
        <w:rPr>
          <w:sz w:val="22"/>
        </w:rPr>
        <w:t>Formalizar. Levantamiento y modelamiento en notación BPMN del proceso real de agendamiento, confirmación, cancelación y atención, identificando los puntos donde se origina la inasistencia.</w:t>
      </w:r>
    </w:p>
    <w:p>
      <w:pPr>
        <w:pStyle w:val="ListBullet"/>
        <w:spacing w:after="60"/>
        <w:jc w:val="both"/>
      </w:pPr>
      <w:r>
        <w:rPr>
          <w:sz w:val="22"/>
        </w:rPr>
        <w:t>Estructurar. Extensión del modelo de datos existente incorporando el estado de inasistencia —hoy ausente— junto al flujo que permite registrarlo, y derivación de las variables necesarias para su análisis: anticipación de la reserva, historial de comportamiento del tutor, día y bloque horario, profesional y tipo de atención.</w:t>
      </w:r>
    </w:p>
    <w:p>
      <w:pPr>
        <w:pStyle w:val="ListBullet"/>
        <w:spacing w:after="60"/>
        <w:jc w:val="both"/>
      </w:pPr>
      <w:r>
        <w:rPr>
          <w:sz w:val="22"/>
        </w:rPr>
        <w:t>Medir. Construcción de indicadores de gestión que cuantifiquen la tasa de inasistencia, su distribución por día, horario, profesional y tipo de atención, y su impacto económico expresado en ingresos no percibidos.</w:t>
      </w:r>
    </w:p>
    <w:p>
      <w:pPr>
        <w:pStyle w:val="ListBullet"/>
        <w:spacing w:after="60"/>
        <w:jc w:val="both"/>
      </w:pPr>
      <w:r>
        <w:rPr>
          <w:sz w:val="22"/>
        </w:rPr>
        <w:t>Predecir. Desarrollo de un modelo de puntuación que estime la probabilidad de inasistencia de cada hora agendada a partir de variables históricas, clasificándola en riesgo alto, medio o bajo.</w:t>
      </w:r>
    </w:p>
    <w:p>
      <w:pPr>
        <w:pStyle w:val="ListBullet"/>
        <w:spacing w:after="60"/>
        <w:jc w:val="both"/>
      </w:pPr>
      <w:r>
        <w:rPr>
          <w:sz w:val="22"/>
        </w:rPr>
        <w:t>Recomendar. Implementación de un tablero de visualización que presente las horas en riesgo de los próximos días junto a la acción sugerida para cada una: confirmación reforzada, oferta en lista de espera o solicitud de abono.</w:t>
      </w:r>
    </w:p>
    <w:p>
      <w:pPr>
        <w:spacing w:after="120" w:before="80"/>
      </w:pPr>
      <w:r>
        <w:rPr>
          <w:b w:val="0"/>
          <w:i w:val="0"/>
          <w:sz w:val="22"/>
        </w:rPr>
        <w:t>De forma complementaria se diseña el prototipo navegable de la interfaz móvil destinada al tutor —consulta de disponibilidad, selección de profesional, reserva y cancelación autónoma—, que constituye el canal de captura de datos del sistema y queda especificado para su construcción en etapas posteriores.</w:t>
      </w:r>
    </w:p>
    <w:p>
      <w:pPr>
        <w:pStyle w:val="Heading2"/>
      </w:pPr>
      <w:r>
        <w:t>2.6 Arquitectura y componentes técnicos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00"/>
            <w:shd w:val="clear" w:color="auto" w:fill="D9E2EC"/>
          </w:tcPr>
          <w:p>
            <w:r>
              <w:rPr>
                <w:b/>
                <w:sz w:val="19"/>
              </w:rPr>
              <w:t>Componente</w:t>
            </w:r>
          </w:p>
        </w:tc>
        <w:tc>
          <w:tcPr>
            <w:tcW w:type="dxa" w:w="2800"/>
            <w:shd w:val="clear" w:color="auto" w:fill="D9E2EC"/>
          </w:tcPr>
          <w:p>
            <w:r>
              <w:rPr>
                <w:b/>
                <w:sz w:val="19"/>
              </w:rPr>
              <w:t>Tecnología</w:t>
            </w:r>
          </w:p>
        </w:tc>
        <w:tc>
          <w:tcPr>
            <w:tcW w:type="dxa" w:w="4360"/>
            <w:shd w:val="clear" w:color="auto" w:fill="D9E2EC"/>
          </w:tcPr>
          <w:p>
            <w:r>
              <w:rPr>
                <w:b/>
                <w:sz w:val="19"/>
              </w:rPr>
              <w:t>Función</w:t>
            </w:r>
          </w:p>
        </w:tc>
      </w:tr>
      <w:tr>
        <w:tc>
          <w:tcPr>
            <w:tcW w:type="dxa" w:w="1900"/>
          </w:tcPr>
          <w:p>
            <w:pPr>
              <w:jc w:val="left"/>
            </w:pPr>
            <w:r>
              <w:rPr>
                <w:sz w:val="19"/>
              </w:rPr>
              <w:t>Sistema base</w:t>
            </w:r>
          </w:p>
        </w:tc>
        <w:tc>
          <w:tcPr>
            <w:tcW w:type="dxa" w:w="2800"/>
          </w:tcPr>
          <w:p>
            <w:pPr>
              <w:jc w:val="left"/>
            </w:pPr>
            <w:r>
              <w:rPr>
                <w:sz w:val="19"/>
              </w:rPr>
              <w:t>Django 4.2 · SQLite</w:t>
            </w:r>
          </w:p>
        </w:tc>
        <w:tc>
          <w:tcPr>
            <w:tcW w:type="dxa" w:w="4360"/>
          </w:tcPr>
          <w:p>
            <w:pPr>
              <w:jc w:val="left"/>
            </w:pPr>
            <w:r>
              <w:rPr>
                <w:sz w:val="19"/>
              </w:rPr>
              <w:t>Aporta el modelo de pacientes, profesionales y agenda, la autenticación y el control de acceso por rol. Preexistente.</w:t>
            </w:r>
          </w:p>
        </w:tc>
      </w:tr>
      <w:tr>
        <w:tc>
          <w:tcPr>
            <w:tcW w:type="dxa" w:w="1900"/>
          </w:tcPr>
          <w:p>
            <w:pPr>
              <w:jc w:val="left"/>
            </w:pPr>
            <w:r>
              <w:rPr>
                <w:sz w:val="19"/>
              </w:rPr>
              <w:t>Extensión del modelo de datos</w:t>
            </w:r>
          </w:p>
        </w:tc>
        <w:tc>
          <w:tcPr>
            <w:tcW w:type="dxa" w:w="2800"/>
          </w:tcPr>
          <w:p>
            <w:pPr>
              <w:jc w:val="left"/>
            </w:pPr>
            <w:r>
              <w:rPr>
                <w:sz w:val="19"/>
              </w:rPr>
              <w:t>Django ORM · migraciones</w:t>
            </w:r>
          </w:p>
        </w:tc>
        <w:tc>
          <w:tcPr>
            <w:tcW w:type="dxa" w:w="4360"/>
          </w:tcPr>
          <w:p>
            <w:pPr>
              <w:jc w:val="left"/>
            </w:pPr>
            <w:r>
              <w:rPr>
                <w:sz w:val="19"/>
              </w:rPr>
              <w:t>Incorpora el registro de la inasistencia y las variables predictoras. Aporte del equipo.</w:t>
            </w:r>
          </w:p>
        </w:tc>
      </w:tr>
      <w:tr>
        <w:tc>
          <w:tcPr>
            <w:tcW w:type="dxa" w:w="1900"/>
          </w:tcPr>
          <w:p>
            <w:pPr>
              <w:jc w:val="left"/>
            </w:pPr>
            <w:r>
              <w:rPr>
                <w:sz w:val="19"/>
              </w:rPr>
              <w:t>Modelamiento del proceso</w:t>
            </w:r>
          </w:p>
        </w:tc>
        <w:tc>
          <w:tcPr>
            <w:tcW w:type="dxa" w:w="2800"/>
          </w:tcPr>
          <w:p>
            <w:pPr>
              <w:jc w:val="left"/>
            </w:pPr>
            <w:r>
              <w:rPr>
                <w:sz w:val="19"/>
              </w:rPr>
              <w:t>BPMN (Bizagi Modeler)</w:t>
            </w:r>
          </w:p>
        </w:tc>
        <w:tc>
          <w:tcPr>
            <w:tcW w:type="dxa" w:w="4360"/>
          </w:tcPr>
          <w:p>
            <w:pPr>
              <w:jc w:val="left"/>
            </w:pPr>
            <w:r>
              <w:rPr>
                <w:sz w:val="19"/>
              </w:rPr>
              <w:t>Representación formal del proceso de agendamiento y sus puntos críticos.</w:t>
            </w:r>
          </w:p>
        </w:tc>
      </w:tr>
      <w:tr>
        <w:tc>
          <w:tcPr>
            <w:tcW w:type="dxa" w:w="1900"/>
          </w:tcPr>
          <w:p>
            <w:pPr>
              <w:jc w:val="left"/>
            </w:pPr>
            <w:r>
              <w:rPr>
                <w:sz w:val="19"/>
              </w:rPr>
              <w:t>Indicadores de gestión</w:t>
            </w:r>
          </w:p>
        </w:tc>
        <w:tc>
          <w:tcPr>
            <w:tcW w:type="dxa" w:w="2800"/>
          </w:tcPr>
          <w:p>
            <w:pPr>
              <w:jc w:val="left"/>
            </w:pPr>
            <w:r>
              <w:rPr>
                <w:sz w:val="19"/>
              </w:rPr>
              <w:t>Consultas SQL</w:t>
            </w:r>
          </w:p>
        </w:tc>
        <w:tc>
          <w:tcPr>
            <w:tcW w:type="dxa" w:w="4360"/>
          </w:tcPr>
          <w:p>
            <w:pPr>
              <w:jc w:val="left"/>
            </w:pPr>
            <w:r>
              <w:rPr>
                <w:sz w:val="19"/>
              </w:rPr>
              <w:t>Cálculo de tasa de inasistencia, distribución e impacto económico.</w:t>
            </w:r>
          </w:p>
        </w:tc>
      </w:tr>
      <w:tr>
        <w:tc>
          <w:tcPr>
            <w:tcW w:type="dxa" w:w="1900"/>
          </w:tcPr>
          <w:p>
            <w:pPr>
              <w:jc w:val="left"/>
            </w:pPr>
            <w:r>
              <w:rPr>
                <w:sz w:val="19"/>
              </w:rPr>
              <w:t>Modelo predictivo</w:t>
            </w:r>
          </w:p>
        </w:tc>
        <w:tc>
          <w:tcPr>
            <w:tcW w:type="dxa" w:w="2800"/>
          </w:tcPr>
          <w:p>
            <w:pPr>
              <w:jc w:val="left"/>
            </w:pPr>
            <w:r>
              <w:rPr>
                <w:sz w:val="19"/>
              </w:rPr>
              <w:t>Puntuación por reglas en SQL; opcionalmente Python (scikit-learn)</w:t>
            </w:r>
          </w:p>
        </w:tc>
        <w:tc>
          <w:tcPr>
            <w:tcW w:type="dxa" w:w="4360"/>
          </w:tcPr>
          <w:p>
            <w:pPr>
              <w:jc w:val="left"/>
            </w:pPr>
            <w:r>
              <w:rPr>
                <w:sz w:val="19"/>
              </w:rPr>
              <w:t>Estimación de la probabilidad de inasistencia y clasificación por nivel de riesgo.</w:t>
            </w:r>
          </w:p>
        </w:tc>
      </w:tr>
      <w:tr>
        <w:tc>
          <w:tcPr>
            <w:tcW w:type="dxa" w:w="1900"/>
          </w:tcPr>
          <w:p>
            <w:pPr>
              <w:jc w:val="left"/>
            </w:pPr>
            <w:r>
              <w:rPr>
                <w:sz w:val="19"/>
              </w:rPr>
              <w:t>Tablero de visualización</w:t>
            </w:r>
          </w:p>
        </w:tc>
        <w:tc>
          <w:tcPr>
            <w:tcW w:type="dxa" w:w="2800"/>
          </w:tcPr>
          <w:p>
            <w:pPr>
              <w:jc w:val="left"/>
            </w:pPr>
            <w:r>
              <w:rPr>
                <w:sz w:val="19"/>
              </w:rPr>
              <w:t>Power BI Desktop</w:t>
            </w:r>
          </w:p>
        </w:tc>
        <w:tc>
          <w:tcPr>
            <w:tcW w:type="dxa" w:w="4360"/>
          </w:tcPr>
          <w:p>
            <w:pPr>
              <w:jc w:val="left"/>
            </w:pPr>
            <w:r>
              <w:rPr>
                <w:sz w:val="19"/>
              </w:rPr>
              <w:t>Presentación de indicadores, horas en riesgo y acción recomendada.</w:t>
            </w:r>
          </w:p>
        </w:tc>
      </w:tr>
      <w:tr>
        <w:tc>
          <w:tcPr>
            <w:tcW w:type="dxa" w:w="1900"/>
          </w:tcPr>
          <w:p>
            <w:pPr>
              <w:jc w:val="left"/>
            </w:pPr>
            <w:r>
              <w:rPr>
                <w:sz w:val="19"/>
              </w:rPr>
              <w:t>Prototipo de interfaz</w:t>
            </w:r>
          </w:p>
        </w:tc>
        <w:tc>
          <w:tcPr>
            <w:tcW w:type="dxa" w:w="2800"/>
          </w:tcPr>
          <w:p>
            <w:pPr>
              <w:jc w:val="left"/>
            </w:pPr>
            <w:r>
              <w:rPr>
                <w:sz w:val="19"/>
              </w:rPr>
              <w:t>Figma</w:t>
            </w:r>
          </w:p>
        </w:tc>
        <w:tc>
          <w:tcPr>
            <w:tcW w:type="dxa" w:w="4360"/>
          </w:tcPr>
          <w:p>
            <w:pPr>
              <w:jc w:val="left"/>
            </w:pPr>
            <w:r>
              <w:rPr>
                <w:sz w:val="19"/>
              </w:rPr>
              <w:t>Especificación navegable de las nuevas pantallas: registro de inasistencia y horas en riesgo.</w:t>
            </w:r>
          </w:p>
        </w:tc>
      </w:tr>
      <w:tr>
        <w:tc>
          <w:tcPr>
            <w:tcW w:type="dxa" w:w="1900"/>
          </w:tcPr>
          <w:p>
            <w:pPr>
              <w:jc w:val="left"/>
            </w:pPr>
            <w:r>
              <w:rPr>
                <w:sz w:val="19"/>
              </w:rPr>
              <w:t>Pruebas</w:t>
            </w:r>
          </w:p>
        </w:tc>
        <w:tc>
          <w:tcPr>
            <w:tcW w:type="dxa" w:w="2800"/>
          </w:tcPr>
          <w:p>
            <w:pPr>
              <w:jc w:val="left"/>
            </w:pPr>
            <w:r>
              <w:rPr>
                <w:sz w:val="19"/>
              </w:rPr>
              <w:t>Katalon Studio, Postman</w:t>
            </w:r>
          </w:p>
        </w:tc>
        <w:tc>
          <w:tcPr>
            <w:tcW w:type="dxa" w:w="4360"/>
          </w:tcPr>
          <w:p>
            <w:pPr>
              <w:jc w:val="left"/>
            </w:pPr>
            <w:r>
              <w:rPr>
                <w:sz w:val="19"/>
              </w:rPr>
              <w:t>Verificación de integridad, exactitud de indicadores y comportamiento del modelo.</w:t>
            </w:r>
          </w:p>
        </w:tc>
      </w:tr>
      <w:tr>
        <w:tc>
          <w:tcPr>
            <w:tcW w:type="dxa" w:w="1900"/>
          </w:tcPr>
          <w:p>
            <w:pPr>
              <w:jc w:val="left"/>
            </w:pPr>
            <w:r>
              <w:rPr>
                <w:sz w:val="19"/>
              </w:rPr>
              <w:t>Control de versiones</w:t>
            </w:r>
          </w:p>
        </w:tc>
        <w:tc>
          <w:tcPr>
            <w:tcW w:type="dxa" w:w="2800"/>
          </w:tcPr>
          <w:p>
            <w:pPr>
              <w:jc w:val="left"/>
            </w:pPr>
            <w:r>
              <w:rPr>
                <w:sz w:val="19"/>
              </w:rPr>
              <w:t>Git / GitHub</w:t>
            </w:r>
          </w:p>
        </w:tc>
        <w:tc>
          <w:tcPr>
            <w:tcW w:type="dxa" w:w="4360"/>
          </w:tcPr>
          <w:p>
            <w:pPr>
              <w:jc w:val="left"/>
            </w:pPr>
            <w:r>
              <w:rPr>
                <w:sz w:val="19"/>
              </w:rPr>
              <w:t>Trazabilidad del desarrollo y de los aportes individuales.</w:t>
            </w:r>
          </w:p>
        </w:tc>
      </w:tr>
    </w:tbl>
    <w:p>
      <w:pPr>
        <w:spacing w:after="120"/>
      </w:pPr>
    </w:p>
    <w:p>
      <w:pPr>
        <w:pStyle w:val="Heading2"/>
      </w:pPr>
      <w:r>
        <w:t>2.7 Metodología de desarrollo</w:t>
      </w:r>
    </w:p>
    <w:p>
      <w:pPr>
        <w:spacing w:after="120" w:before="0"/>
      </w:pPr>
      <w:r>
        <w:rPr>
          <w:b w:val="0"/>
          <w:i w:val="0"/>
          <w:sz w:val="22"/>
        </w:rPr>
        <w:t>El proyecto adopta una estrategia metodológica mixta. Para el desarrollo analítico se utiliza CRISP-DM (Cross Industry Standard Process for Data Mining), estándar de referencia en proyectos de análisis de datos, cuyas seis etapas —comprensión del negocio, comprensión de los datos, preparación de los datos, modelado, evaluación y despliegue— estructuran el trabajo técnico.</w:t>
      </w:r>
    </w:p>
    <w:p>
      <w:pPr>
        <w:spacing w:after="120" w:before="0"/>
      </w:pPr>
      <w:r>
        <w:rPr>
          <w:b w:val="0"/>
          <w:i w:val="0"/>
          <w:sz w:val="22"/>
        </w:rPr>
        <w:t>Para la gestión se emplea un marco ágil adaptado al contexto académico: el trabajo se organiza en incrementos de dos semanas, cada uno con un entregable verificable, lo que permite detectar desviaciones tempranamente. De forma transversal se aplica una matriz de riesgos con evaluación de probabilidad e impacto, revisada al cierre de cada incremento, y un plan de pruebas formal que verifica la integridad del modelo de datos y la exactitud de los resultados. Todo dato proveniente de la organización se trata de forma anonimizada, y la participación de la clínica se formaliza mediante consentimiento informado escrito.</w:t>
      </w:r>
    </w:p>
    <w:p>
      <w:pPr>
        <w:pStyle w:val="Heading2"/>
      </w:pPr>
      <w:r>
        <w:t>2.8 Distribución de responsabilidades del equipo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000"/>
            <w:shd w:val="clear" w:color="auto" w:fill="D9E2EC"/>
          </w:tcPr>
          <w:p>
            <w:r>
              <w:rPr>
                <w:b/>
                <w:sz w:val="19"/>
              </w:rPr>
              <w:t>Integrante</w:t>
            </w:r>
          </w:p>
        </w:tc>
        <w:tc>
          <w:tcPr>
            <w:tcW w:type="dxa" w:w="2300"/>
            <w:shd w:val="clear" w:color="auto" w:fill="D9E2EC"/>
          </w:tcPr>
          <w:p>
            <w:r>
              <w:rPr>
                <w:b/>
                <w:sz w:val="19"/>
              </w:rPr>
              <w:t>Rol</w:t>
            </w:r>
          </w:p>
        </w:tc>
        <w:tc>
          <w:tcPr>
            <w:tcW w:type="dxa" w:w="4760"/>
            <w:shd w:val="clear" w:color="auto" w:fill="D9E2EC"/>
          </w:tcPr>
          <w:p>
            <w:r>
              <w:rPr>
                <w:b/>
                <w:sz w:val="19"/>
              </w:rPr>
              <w:t>Responsabilidades</w:t>
            </w:r>
          </w:p>
        </w:tc>
      </w:tr>
      <w:tr>
        <w:tc>
          <w:tcPr>
            <w:tcW w:type="dxa" w:w="2000"/>
          </w:tcPr>
          <w:p>
            <w:pPr>
              <w:jc w:val="left"/>
            </w:pPr>
            <w:r>
              <w:rPr>
                <w:sz w:val="19"/>
              </w:rPr>
              <w:t>Katalina Mora Quiñones</w:t>
            </w:r>
          </w:p>
        </w:tc>
        <w:tc>
          <w:tcPr>
            <w:tcW w:type="dxa" w:w="2300"/>
          </w:tcPr>
          <w:p>
            <w:pPr>
              <w:jc w:val="left"/>
            </w:pPr>
            <w:r>
              <w:rPr>
                <w:sz w:val="19"/>
              </w:rPr>
              <w:t>Analista de datos y gestora del proyecto</w:t>
            </w:r>
          </w:p>
        </w:tc>
        <w:tc>
          <w:tcPr>
            <w:tcW w:type="dxa" w:w="4760"/>
          </w:tcPr>
          <w:p>
            <w:pPr>
              <w:jc w:val="left"/>
            </w:pPr>
            <w:r>
              <w:rPr>
                <w:sz w:val="19"/>
              </w:rPr>
              <w:t>Conducción de entrevistas, modelamiento BPMN, diseño e implementación del modelo de datos, indicadores de gestión, modelo de puntuación de riesgo, tablero de visualización, planificación y gestión de riesgos.</w:t>
            </w:r>
          </w:p>
        </w:tc>
      </w:tr>
      <w:tr>
        <w:tc>
          <w:tcPr>
            <w:tcW w:type="dxa" w:w="2000"/>
          </w:tcPr>
          <w:p>
            <w:pPr>
              <w:jc w:val="left"/>
            </w:pPr>
            <w:r>
              <w:rPr>
                <w:sz w:val="19"/>
              </w:rPr>
              <w:t>Uciell Madrid</w:t>
            </w:r>
          </w:p>
        </w:tc>
        <w:tc>
          <w:tcPr>
            <w:tcW w:type="dxa" w:w="2300"/>
          </w:tcPr>
          <w:p>
            <w:pPr>
              <w:jc w:val="left"/>
            </w:pPr>
            <w:r>
              <w:rPr>
                <w:sz w:val="19"/>
              </w:rPr>
              <w:t>Analista funcional y encargada de calidad</w:t>
            </w:r>
          </w:p>
        </w:tc>
        <w:tc>
          <w:tcPr>
            <w:tcW w:type="dxa" w:w="4760"/>
          </w:tcPr>
          <w:p>
            <w:pPr>
              <w:jc w:val="left"/>
            </w:pPr>
            <w:r>
              <w:rPr>
                <w:sz w:val="19"/>
              </w:rPr>
              <w:t>Registro y sistematización de entrevistas, preparación y anonimización del conjunto de datos, diseño del prototipo de interfaz, diseño y ejecución del plan de pruebas, consolidación de la documentación técnica.</w:t>
            </w:r>
          </w:p>
        </w:tc>
      </w:tr>
      <w:tr>
        <w:tc>
          <w:tcPr>
            <w:tcW w:type="dxa" w:w="2000"/>
          </w:tcPr>
          <w:p>
            <w:pPr>
              <w:jc w:val="left"/>
            </w:pPr>
            <w:r>
              <w:rPr>
                <w:sz w:val="19"/>
              </w:rPr>
              <w:t>Ambas integrantes</w:t>
            </w:r>
          </w:p>
        </w:tc>
        <w:tc>
          <w:tcPr>
            <w:tcW w:type="dxa" w:w="2300"/>
          </w:tcPr>
          <w:p>
            <w:pPr>
              <w:jc w:val="left"/>
            </w:pPr>
            <w:r>
              <w:rPr>
                <w:sz w:val="19"/>
              </w:rPr>
              <w:t>Trabajo conjunto</w:t>
            </w:r>
          </w:p>
        </w:tc>
        <w:tc>
          <w:tcPr>
            <w:tcW w:type="dxa" w:w="4760"/>
          </w:tcPr>
          <w:p>
            <w:pPr>
              <w:jc w:val="left"/>
            </w:pPr>
            <w:r>
              <w:rPr>
                <w:sz w:val="19"/>
              </w:rPr>
              <w:t>Definición del proyecto, validación de la solución con la organización, elaboración del informe final y preparación de la presentación de defensa.</w:t>
            </w:r>
          </w:p>
        </w:tc>
      </w:tr>
    </w:tbl>
    <w:p>
      <w:pPr>
        <w:spacing w:after="120"/>
      </w:pPr>
    </w:p>
    <w:p>
      <w:pPr>
        <w:pStyle w:val="Heading2"/>
      </w:pPr>
      <w:r>
        <w:t>2.9 Delimitación de la autoría del trabajo</w:t>
      </w:r>
    </w:p>
    <w:p>
      <w:pPr>
        <w:spacing w:after="120" w:before="0"/>
      </w:pPr>
      <w:r>
        <w:rPr>
          <w:b w:val="0"/>
          <w:i w:val="0"/>
          <w:sz w:val="22"/>
        </w:rPr>
        <w:t>Con el propósito de establecer con claridad el alcance del aporte realizado en esta asignatura, se declara lo siguiente. El sistema base Huellitas —módulos de usuarios y roles, mascotas, agenda de citas, historial clínico, vacunas, síntomas, inventario, adopciones y reportes— fue desarrollado con anterioridad al inicio de esta asignatura por la estudiante Katalina Mora Quiñones en conjunto con una colaboradora externa al equipo de trabajo.</w:t>
      </w:r>
    </w:p>
    <w:p>
      <w:pPr>
        <w:spacing w:after="120" w:before="0"/>
      </w:pPr>
      <w:r>
        <w:rPr>
          <w:b w:val="0"/>
          <w:i w:val="0"/>
          <w:sz w:val="22"/>
        </w:rPr>
        <w:t>El aporte del presente Proyecto APT, desarrollado íntegramente por las integrantes del equipo, corresponde al módulo de gestión del riesgo de inasistencia y comprende: la extensión del modelo de datos para registrar la inasistencia, la derivación de las variables predictoras, la construcción de los indicadores de gestión, el desarrollo del modelo de puntuación de riesgo, la implementación del tablero de decisión y el plan de pruebas asociado.</w:t>
      </w:r>
    </w:p>
    <w:p>
      <w:pPr>
        <w:spacing w:after="120" w:before="0"/>
      </w:pPr>
      <w:r>
        <w:rPr>
          <w:b w:val="0"/>
          <w:i w:val="0"/>
          <w:sz w:val="22"/>
        </w:rPr>
        <w:t>Esta delimitación es verificable en el historial del repositorio de control de versiones, que registra de forma diferenciada el estado inicial del sistema base y cada aporte incorporado durante el desarrollo del proyecto.</w:t>
      </w:r>
    </w:p>
    <w:p>
      <w:pPr>
        <w:pStyle w:val="Heading1"/>
      </w:pPr>
      <w:r>
        <w:t>3. Pertinencia respecto del perfil de egreso</w:t>
      </w:r>
    </w:p>
    <w:p>
      <w:pPr>
        <w:spacing w:after="120" w:before="0"/>
      </w:pPr>
      <w:r>
        <w:rPr>
          <w:b w:val="0"/>
          <w:i w:val="0"/>
          <w:sz w:val="22"/>
        </w:rPr>
        <w:t>El proyecto pone en práctica tres competencias del perfil de egreso de Ingeniería en Informática, cuya aplicación resulta necesaria para resolver la problemática planteada: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0"/>
            <w:shd w:val="clear" w:color="auto" w:fill="D9E2EC"/>
          </w:tcPr>
          <w:p>
            <w:r>
              <w:rPr>
                <w:b/>
                <w:sz w:val="19"/>
              </w:rPr>
              <w:t>Competencia del perfil de egreso</w:t>
            </w:r>
          </w:p>
        </w:tc>
        <w:tc>
          <w:tcPr>
            <w:tcW w:type="dxa" w:w="4200"/>
            <w:shd w:val="clear" w:color="auto" w:fill="D9E2EC"/>
          </w:tcPr>
          <w:p>
            <w:r>
              <w:rPr>
                <w:b/>
                <w:sz w:val="19"/>
              </w:rPr>
              <w:t>Aplicación en el proyecto</w:t>
            </w:r>
          </w:p>
        </w:tc>
        <w:tc>
          <w:tcPr>
            <w:tcW w:type="dxa" w:w="1800"/>
            <w:shd w:val="clear" w:color="auto" w:fill="D9E2EC"/>
          </w:tcPr>
          <w:p>
            <w:r>
              <w:rPr>
                <w:b/>
                <w:sz w:val="19"/>
              </w:rPr>
              <w:t>Indicadores de calidad</w:t>
            </w:r>
          </w:p>
        </w:tc>
      </w:tr>
      <w:tr>
        <w:tc>
          <w:tcPr>
            <w:tcW w:type="dxa" w:w="3060"/>
          </w:tcPr>
          <w:p>
            <w:pPr>
              <w:jc w:val="left"/>
            </w:pPr>
            <w:r>
              <w:rPr>
                <w:sz w:val="19"/>
              </w:rPr>
              <w:t>Gestionar proyectos informáticos, ofreciendo alternativas para la toma de decisiones de acuerdo a los requerimientos de la organización.</w:t>
            </w:r>
          </w:p>
        </w:tc>
        <w:tc>
          <w:tcPr>
            <w:tcW w:type="dxa" w:w="4200"/>
          </w:tcPr>
          <w:p>
            <w:pPr>
              <w:jc w:val="left"/>
            </w:pPr>
            <w:r>
              <w:rPr>
                <w:sz w:val="19"/>
              </w:rPr>
              <w:t>Competencia estructurante. Se aplica en la planificación, definición del alcance, carta Gantt y gestión de riesgos. El producto final es, además, una herramienta de gestión de riesgos.</w:t>
            </w:r>
          </w:p>
        </w:tc>
        <w:tc>
          <w:tcPr>
            <w:tcW w:type="dxa" w:w="1800"/>
          </w:tcPr>
          <w:p>
            <w:pPr>
              <w:jc w:val="left"/>
            </w:pPr>
            <w:r>
              <w:rPr>
                <w:sz w:val="19"/>
              </w:rPr>
              <w:t>2.1 Planifica</w:t>
              <w:br/>
              <w:t>2.2 Controla</w:t>
            </w:r>
          </w:p>
        </w:tc>
      </w:tr>
      <w:tr>
        <w:tc>
          <w:tcPr>
            <w:tcW w:type="dxa" w:w="3060"/>
          </w:tcPr>
          <w:p>
            <w:pPr>
              <w:jc w:val="left"/>
            </w:pPr>
            <w:r>
              <w:rPr>
                <w:sz w:val="19"/>
              </w:rPr>
              <w:t>Construir modelos de datos para soportar los requerimientos de la organización de acuerdo a un diseño definido y escalable en el tiempo.</w:t>
            </w:r>
          </w:p>
        </w:tc>
        <w:tc>
          <w:tcPr>
            <w:tcW w:type="dxa" w:w="4200"/>
          </w:tcPr>
          <w:p>
            <w:pPr>
              <w:jc w:val="left"/>
            </w:pPr>
            <w:r>
              <w:rPr>
                <w:sz w:val="19"/>
              </w:rPr>
              <w:t>Sin esta competencia el proyecto no existe: la clínica no posee información estructurada. Se diseña el modelo entidad-relación, se normaliza y se implementa considerando su crecimiento y replicabilidad en otros establecimientos.</w:t>
            </w:r>
          </w:p>
        </w:tc>
        <w:tc>
          <w:tcPr>
            <w:tcW w:type="dxa" w:w="1800"/>
          </w:tcPr>
          <w:p>
            <w:pPr>
              <w:jc w:val="left"/>
            </w:pPr>
            <w:r>
              <w:rPr>
                <w:sz w:val="19"/>
              </w:rPr>
              <w:t>3.1 Diseña</w:t>
              <w:br/>
              <w:t>3.2 Implementa</w:t>
            </w:r>
          </w:p>
        </w:tc>
      </w:tr>
      <w:tr>
        <w:tc>
          <w:tcPr>
            <w:tcW w:type="dxa" w:w="3060"/>
          </w:tcPr>
          <w:p>
            <w:pPr>
              <w:jc w:val="left"/>
            </w:pPr>
            <w:r>
              <w:rPr>
                <w:sz w:val="19"/>
              </w:rPr>
              <w:t>Realizar pruebas de certificación tanto de los productos como de los procesos, utilizando buenas prácticas definidas por la industria.</w:t>
            </w:r>
          </w:p>
        </w:tc>
        <w:tc>
          <w:tcPr>
            <w:tcW w:type="dxa" w:w="4200"/>
          </w:tcPr>
          <w:p>
            <w:pPr>
              <w:jc w:val="left"/>
            </w:pPr>
            <w:r>
              <w:rPr>
                <w:sz w:val="19"/>
              </w:rPr>
              <w:t>La solución entrega información sobre la cual la clínica tomará decisiones operacionales, por lo que su validez debe verificarse mediante un plan de pruebas formal.</w:t>
            </w:r>
          </w:p>
        </w:tc>
        <w:tc>
          <w:tcPr>
            <w:tcW w:type="dxa" w:w="1800"/>
          </w:tcPr>
          <w:p>
            <w:pPr>
              <w:jc w:val="left"/>
            </w:pPr>
            <w:r>
              <w:rPr>
                <w:sz w:val="19"/>
              </w:rPr>
              <w:t>1.1 Diseña pruebas</w:t>
              <w:br/>
              <w:t>1.2 Aplica pruebas</w:t>
              <w:br/>
              <w:t>1.3 Desarrolla mejoras</w:t>
            </w:r>
          </w:p>
        </w:tc>
      </w:tr>
    </w:tbl>
    <w:p>
      <w:pPr>
        <w:spacing w:after="120"/>
      </w:pPr>
    </w:p>
    <w:p>
      <w:pPr>
        <w:spacing w:after="120" w:before="0"/>
      </w:pPr>
      <w:r>
        <w:rPr>
          <w:b w:val="0"/>
          <w:i w:val="0"/>
          <w:sz w:val="22"/>
        </w:rPr>
        <w:t>El proyecto integra adicionalmente competencias desarrolladas a lo largo del plan de estudio: modelamiento de procesos de negocio, análisis y planificación de requerimientos, inteligencia de negocios, minería de datos y resguardo de la información, esta última aplicada al tratamiento anonimizado de los datos de tutores y pacientes.</w:t>
      </w:r>
    </w:p>
    <w:p>
      <w:pPr>
        <w:pStyle w:val="Heading1"/>
      </w:pPr>
      <w:r>
        <w:t>4. Relación con los intereses profesionales</w:t>
      </w:r>
    </w:p>
    <w:p>
      <w:pPr>
        <w:spacing w:after="120" w:before="0"/>
      </w:pPr>
      <w:r>
        <w:rPr>
          <w:b w:val="0"/>
          <w:i w:val="0"/>
          <w:sz w:val="22"/>
        </w:rPr>
        <w:t>Los intereses profesionales declarados por el equipo se orientan al análisis de datos, la inteligencia artificial aplicada, la gestión de riesgos y la seguridad de la información. El proyecto constituye la concretización de una propuesta formulada previamente en la asignatura Proceso de Portafolio, denominada «Sistema Inteligente de Análisis de Datos para la Gestión de Riesgos y Apoyo en la Toma de Decisiones», ahora situada sobre un caso real y acotado.</w:t>
      </w:r>
    </w:p>
    <w:p>
      <w:pPr>
        <w:spacing w:after="120" w:before="0"/>
      </w:pPr>
      <w:r>
        <w:rPr>
          <w:b w:val="0"/>
          <w:i w:val="0"/>
          <w:sz w:val="22"/>
        </w:rPr>
        <w:t>La relación es directa en tres planos. En cuanto al análisis de datos, el proyecto consiste íntegramente en transformar información dispersa y no estructurada en indicadores que permitan decidir. En cuanto a la gestión de riesgos, aplica su lógica central: anticipar lo que puede fallar, estimar su probabilidad e impacto y definir una acción de mitigación. En cuanto a la inteligencia artificial aplicada, el modelo de predicción constituye una primera aproximación práctica a un área reconocida como brecha formativa por el equipo, lo que hace del proyecto un instrumento deliberado de desarrollo profesional.</w:t>
      </w:r>
    </w:p>
    <w:p>
      <w:pPr>
        <w:pStyle w:val="Heading1"/>
      </w:pPr>
      <w:r>
        <w:t>5. Factibilidad</w:t>
      </w:r>
    </w:p>
    <w:p>
      <w:pPr>
        <w:spacing w:after="120" w:before="0"/>
      </w:pPr>
      <w:r>
        <w:rPr>
          <w:b w:val="0"/>
          <w:i w:val="0"/>
          <w:sz w:val="22"/>
        </w:rPr>
        <w:t>El proyecto es factible de desarrollarse dentro del período académico, y el factor determinante es que no parte desde cero. El sistema base Huellitas ya se encuentra operativo y aporta el modelo de datos de pacientes, profesionales y agenda, la autenticación y el control de acceso por rol, además de su documentación de arquitectura. El equipo no debe construir esa infraestructura sino extenderla, lo que permite concentrar las dieciocho semanas del período en el componente analítico del proyecto.</w:t>
      </w:r>
    </w:p>
    <w:p>
      <w:pPr>
        <w:spacing w:after="120" w:before="0"/>
      </w:pPr>
      <w:r>
        <w:rPr>
          <w:b w:val="0"/>
          <w:i w:val="0"/>
          <w:sz w:val="22"/>
        </w:rPr>
        <w:t>El alcance quedó por ello acotado con precisión al módulo de gestión del riesgo de inasistencia, y las nuevas interfaces se entregan como prototipo especificado, decisión que reduce la carga técnica sin afectar el cumplimiento de las competencias declaradas. Las herramientas requeridas son de licencia gratuita o disponibles para estudiantes —el sistema base opera sobre Django y SQLite, sin servicios externos—, por lo que no se requiere inversión económica.</w:t>
      </w:r>
    </w:p>
    <w:p>
      <w:pPr>
        <w:pStyle w:val="Heading2"/>
      </w:pPr>
      <w:r>
        <w:t>5.1 Matriz de riesgos del proyecto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700"/>
            <w:shd w:val="clear" w:color="auto" w:fill="D9E2EC"/>
          </w:tcPr>
          <w:p>
            <w:r>
              <w:rPr>
                <w:b/>
                <w:sz w:val="19"/>
              </w:rPr>
              <w:t>Riesgo</w:t>
            </w:r>
          </w:p>
        </w:tc>
        <w:tc>
          <w:tcPr>
            <w:tcW w:type="dxa" w:w="750"/>
            <w:shd w:val="clear" w:color="auto" w:fill="D9E2EC"/>
          </w:tcPr>
          <w:p>
            <w:r>
              <w:rPr>
                <w:b/>
                <w:sz w:val="19"/>
              </w:rPr>
              <w:t>Prob.</w:t>
            </w:r>
          </w:p>
        </w:tc>
        <w:tc>
          <w:tcPr>
            <w:tcW w:type="dxa" w:w="850"/>
            <w:shd w:val="clear" w:color="auto" w:fill="D9E2EC"/>
          </w:tcPr>
          <w:p>
            <w:r>
              <w:rPr>
                <w:b/>
                <w:sz w:val="19"/>
              </w:rPr>
              <w:t>Impacto</w:t>
            </w:r>
          </w:p>
        </w:tc>
        <w:tc>
          <w:tcPr>
            <w:tcW w:type="dxa" w:w="4760"/>
            <w:shd w:val="clear" w:color="auto" w:fill="D9E2EC"/>
          </w:tcPr>
          <w:p>
            <w:r>
              <w:rPr>
                <w:b/>
                <w:sz w:val="19"/>
              </w:rPr>
              <w:t>Medida de mitigación</w:t>
            </w:r>
          </w:p>
        </w:tc>
      </w:tr>
      <w:tr>
        <w:tc>
          <w:tcPr>
            <w:tcW w:type="dxa" w:w="2700"/>
          </w:tcPr>
          <w:p>
            <w:pPr>
              <w:jc w:val="left"/>
            </w:pPr>
            <w:r>
              <w:rPr>
                <w:sz w:val="19"/>
              </w:rPr>
              <w:t>Ausencia de datos históricos digitales en la clínica.</w:t>
            </w:r>
          </w:p>
        </w:tc>
        <w:tc>
          <w:tcPr>
            <w:tcW w:type="dxa" w:w="750"/>
          </w:tcPr>
          <w:p>
            <w:pPr>
              <w:jc w:val="left"/>
            </w:pPr>
            <w:r>
              <w:rPr>
                <w:sz w:val="19"/>
              </w:rPr>
              <w:t>Alta</w:t>
            </w:r>
          </w:p>
        </w:tc>
        <w:tc>
          <w:tcPr>
            <w:tcW w:type="dxa" w:w="850"/>
          </w:tcPr>
          <w:p>
            <w:pPr>
              <w:jc w:val="left"/>
            </w:pPr>
            <w:r>
              <w:rPr>
                <w:sz w:val="19"/>
              </w:rPr>
              <w:t>Medio</w:t>
            </w:r>
          </w:p>
        </w:tc>
        <w:tc>
          <w:tcPr>
            <w:tcW w:type="dxa" w:w="4760"/>
          </w:tcPr>
          <w:p>
            <w:pPr>
              <w:jc w:val="left"/>
            </w:pPr>
            <w:r>
              <w:rPr>
                <w:sz w:val="19"/>
              </w:rPr>
              <w:t>El sistema base incluye un comando de generación de datos con semilla fija, que se extiende para producir un historial de inasistencias coherente con las tasas reportadas por la clínica. Se declara como decisión metodológica.</w:t>
            </w:r>
          </w:p>
        </w:tc>
      </w:tr>
      <w:tr>
        <w:tc>
          <w:tcPr>
            <w:tcW w:type="dxa" w:w="2700"/>
          </w:tcPr>
          <w:p>
            <w:pPr>
              <w:jc w:val="left"/>
            </w:pPr>
            <w:r>
              <w:rPr>
                <w:sz w:val="19"/>
              </w:rPr>
              <w:t>Baja disponibilidad de la organización para las entrevistas.</w:t>
            </w:r>
          </w:p>
        </w:tc>
        <w:tc>
          <w:tcPr>
            <w:tcW w:type="dxa" w:w="750"/>
          </w:tcPr>
          <w:p>
            <w:pPr>
              <w:jc w:val="left"/>
            </w:pPr>
            <w:r>
              <w:rPr>
                <w:sz w:val="19"/>
              </w:rPr>
              <w:t>Media</w:t>
            </w:r>
          </w:p>
        </w:tc>
        <w:tc>
          <w:tcPr>
            <w:tcW w:type="dxa" w:w="850"/>
          </w:tcPr>
          <w:p>
            <w:pPr>
              <w:jc w:val="left"/>
            </w:pPr>
            <w:r>
              <w:rPr>
                <w:sz w:val="19"/>
              </w:rPr>
              <w:t>Medio</w:t>
            </w:r>
          </w:p>
        </w:tc>
        <w:tc>
          <w:tcPr>
            <w:tcW w:type="dxa" w:w="4760"/>
          </w:tcPr>
          <w:p>
            <w:pPr>
              <w:jc w:val="left"/>
            </w:pPr>
            <w:r>
              <w:rPr>
                <w:sz w:val="19"/>
              </w:rPr>
              <w:t>Instrumento acotado a 40 minutos y contacto con más de un establecimiento.</w:t>
            </w:r>
          </w:p>
        </w:tc>
      </w:tr>
      <w:tr>
        <w:tc>
          <w:tcPr>
            <w:tcW w:type="dxa" w:w="2700"/>
          </w:tcPr>
          <w:p>
            <w:pPr>
              <w:jc w:val="left"/>
            </w:pPr>
            <w:r>
              <w:rPr>
                <w:sz w:val="19"/>
              </w:rPr>
              <w:t>Dependencias entre actividades de las integrantes.</w:t>
            </w:r>
          </w:p>
        </w:tc>
        <w:tc>
          <w:tcPr>
            <w:tcW w:type="dxa" w:w="750"/>
          </w:tcPr>
          <w:p>
            <w:pPr>
              <w:jc w:val="left"/>
            </w:pPr>
            <w:r>
              <w:rPr>
                <w:sz w:val="19"/>
              </w:rPr>
              <w:t>Media</w:t>
            </w:r>
          </w:p>
        </w:tc>
        <w:tc>
          <w:tcPr>
            <w:tcW w:type="dxa" w:w="850"/>
          </w:tcPr>
          <w:p>
            <w:pPr>
              <w:jc w:val="left"/>
            </w:pPr>
            <w:r>
              <w:rPr>
                <w:sz w:val="19"/>
              </w:rPr>
              <w:t>Medio</w:t>
            </w:r>
          </w:p>
        </w:tc>
        <w:tc>
          <w:tcPr>
            <w:tcW w:type="dxa" w:w="4760"/>
          </w:tcPr>
          <w:p>
            <w:pPr>
              <w:jc w:val="left"/>
            </w:pPr>
            <w:r>
              <w:rPr>
                <w:sz w:val="19"/>
              </w:rPr>
              <w:t>Incrementos de dos semanas con entregables verificables y actividades parcialmente superpuestas en la carta Gantt.</w:t>
            </w:r>
          </w:p>
        </w:tc>
      </w:tr>
      <w:tr>
        <w:tc>
          <w:tcPr>
            <w:tcW w:type="dxa" w:w="2700"/>
          </w:tcPr>
          <w:p>
            <w:pPr>
              <w:jc w:val="left"/>
            </w:pPr>
            <w:r>
              <w:rPr>
                <w:sz w:val="19"/>
              </w:rPr>
              <w:t>Brecha técnica del equipo en modelado predictivo.</w:t>
            </w:r>
          </w:p>
        </w:tc>
        <w:tc>
          <w:tcPr>
            <w:tcW w:type="dxa" w:w="750"/>
          </w:tcPr>
          <w:p>
            <w:pPr>
              <w:jc w:val="left"/>
            </w:pPr>
            <w:r>
              <w:rPr>
                <w:sz w:val="19"/>
              </w:rPr>
              <w:t>Media</w:t>
            </w:r>
          </w:p>
        </w:tc>
        <w:tc>
          <w:tcPr>
            <w:tcW w:type="dxa" w:w="850"/>
          </w:tcPr>
          <w:p>
            <w:pPr>
              <w:jc w:val="left"/>
            </w:pPr>
            <w:r>
              <w:rPr>
                <w:sz w:val="19"/>
              </w:rPr>
              <w:t>Alto</w:t>
            </w:r>
          </w:p>
        </w:tc>
        <w:tc>
          <w:tcPr>
            <w:tcW w:type="dxa" w:w="4760"/>
          </w:tcPr>
          <w:p>
            <w:pPr>
              <w:jc w:val="left"/>
            </w:pPr>
            <w:r>
              <w:rPr>
                <w:sz w:val="19"/>
              </w:rPr>
              <w:t>Modelo de puntuación por reglas en SQL como línea base; modelo de clasificación automatizada como mejora opcional.</w:t>
            </w:r>
          </w:p>
        </w:tc>
      </w:tr>
    </w:tbl>
    <w:p>
      <w:pPr>
        <w:spacing w:after="120"/>
      </w:pPr>
    </w:p>
    <w:p>
      <w:pPr>
        <w:pStyle w:val="Heading2"/>
      </w:pPr>
      <w:r>
        <w:t>5.2 Planificación</w:t>
      </w:r>
    </w:p>
    <w:p>
      <w:pPr>
        <w:spacing w:after="120" w:before="0"/>
      </w:pPr>
      <w:r>
        <w:rPr>
          <w:b w:val="0"/>
          <w:i w:val="0"/>
          <w:sz w:val="22"/>
        </w:rPr>
        <w:t>El desarrollo se distribuye en las dieciocho semanas del período académico, organizadas en las tres fases de la asignatura. La planificación detallada de las doce actividades definidas, con sus recursos, duraciones y responsables, así como la carta Gantt correspondiente, se presentan en el documento «1.5 Guía del Estudiante — Definición Proyecto APT», que forma parte de las evidencias grupales de esta fase.</w:t>
      </w:r>
    </w:p>
    <w:p>
      <w:r>
        <w:br w:type="page"/>
      </w:r>
    </w:p>
    <w:p>
      <w:pPr>
        <w:pStyle w:val="Heading1"/>
      </w:pPr>
      <w:r>
        <w:t>6. Individual conclusions</w:t>
      </w:r>
    </w:p>
    <w:p>
      <w:pPr>
        <w:spacing w:after="120" w:before="0"/>
      </w:pPr>
      <w:r>
        <w:rPr>
          <w:b w:val="0"/>
          <w:i/>
          <w:sz w:val="21"/>
        </w:rPr>
        <w:t>The following conclusions are presented in English, as required by the assessment guidelines of the course.</w:t>
      </w:r>
    </w:p>
    <w:p>
      <w:pPr>
        <w:pStyle w:val="Heading2"/>
      </w:pPr>
      <w:r>
        <w:t>6.1 Katalina Mora Quiñones</w:t>
      </w:r>
    </w:p>
    <w:p>
      <w:pPr>
        <w:spacing w:after="120" w:before="0"/>
      </w:pPr>
      <w:r>
        <w:rPr>
          <w:b w:val="0"/>
          <w:i w:val="0"/>
          <w:sz w:val="22"/>
        </w:rPr>
        <w:t>Working on the definition of this project allowed me to recognise something I had not fully acknowledged before: my strongest competencies are not in software construction but in project management, risk assessment and data modelling. My academic record confirms this, and instead of hiding it I decided to design a project that is built upon those strengths.</w:t>
      </w:r>
    </w:p>
    <w:p>
      <w:pPr>
        <w:spacing w:after="120" w:before="0"/>
      </w:pPr>
      <w:r>
        <w:rPr>
          <w:b w:val="0"/>
          <w:i w:val="0"/>
          <w:sz w:val="22"/>
        </w:rPr>
        <w:t>The most valuable outcome of this stage was reframing the problem. My initial idea was to build a mobile application for veterinary clinics, which would have placed the project precisely in my weakest area. By analysing the market I understood that mobile applications for this sector already exist, and that the real gap is different: no available solution predicts which appointments are likely to be missed. Recognising that a missed appointment is fundamentally a risk —and therefore a measurable and manageable phenomenon— transformed a common idea into an innovative proposal.</w:t>
      </w:r>
    </w:p>
    <w:p>
      <w:pPr>
        <w:spacing w:after="120" w:before="0"/>
      </w:pPr>
      <w:r>
        <w:rPr>
          <w:b w:val="0"/>
          <w:i w:val="0"/>
          <w:sz w:val="22"/>
        </w:rPr>
        <w:t>I also learned that a well-defined scope is more valuable than an ambitious one. Choosing a rule-based scoring model as the baseline, leaving machine learning as an optional improvement, guarantees that the project can be completed while still allowing me to grow in the area I want to develop professionally: data analysis and applied artificial intelligence.</w:t>
      </w:r>
    </w:p>
    <w:p>
      <w:pPr>
        <w:pStyle w:val="Heading2"/>
      </w:pPr>
      <w:r>
        <w:t>6.2 Uciell Madrid</w:t>
      </w:r>
    </w:p>
    <w:p>
      <w:pPr>
        <w:spacing w:after="120" w:before="0"/>
      </w:pPr>
      <w:r>
        <w:rPr>
          <w:b w:val="0"/>
          <w:i w:val="0"/>
          <w:sz w:val="22"/>
        </w:rPr>
        <w:t>Joining a project that already had a working system taught me something I had not experienced in previous assignments: most professional work does not start with an empty folder. Before proposing anything, we had to read an existing codebase, understand the decisions someone had already made and identify what was genuinely missing. That reading is what revealed the gap the project is built on.</w:t>
      </w:r>
    </w:p>
    <w:p>
      <w:pPr>
        <w:spacing w:after="120" w:before="0"/>
      </w:pPr>
      <w:r>
        <w:rPr>
          <w:b w:val="0"/>
          <w:i w:val="0"/>
          <w:sz w:val="22"/>
        </w:rPr>
        <w:t>What struck me most was how a small omission in a data model can make an entire problem invisible. The appointment model offered three states and none of them recorded a client who simply did not arrive. Nothing in the system was broken, yet the clinic had no way of knowing how much it was losing. I now understand that deciding what a system stores is also deciding what an organisation will be able to see.</w:t>
      </w:r>
    </w:p>
    <w:p>
      <w:pPr>
        <w:spacing w:after="120" w:before="0"/>
      </w:pPr>
      <w:r>
        <w:rPr>
          <w:b w:val="0"/>
          <w:i w:val="0"/>
          <w:sz w:val="22"/>
        </w:rPr>
        <w:t>My responsibilities are functional analysis, data preparation, interface prototyping and quality assurance. I consider the last one critical in this particular project: the clinic will make operational decisions —calling a client, releasing a slot, requesting a deposit— based on what our model predicts. If the indicators are wrong, the damage is real. Designing and executing a test plan is therefore not a closing formality but a condition for the solution to be trustworthy.</w:t>
      </w:r>
    </w:p>
    <w:p>
      <w:pPr>
        <w:spacing w:after="120" w:before="0"/>
      </w:pPr>
      <w:r>
        <w:rPr>
          <w:b w:val="0"/>
          <w:i w:val="0"/>
          <w:sz w:val="22"/>
        </w:rPr>
        <w:t>Working with an actual veterinary clinic also changed how I think about requirements. The people who will use this system are not technical, and they do not describe their problems in the language of software. Translating what they say into something a system can implement is a skill I expect to use for the rest of my career, and this project is where I intend to develop it.</w:t>
      </w:r>
    </w:p>
    <w:p>
      <w:pPr>
        <w:pStyle w:val="Heading1"/>
      </w:pPr>
      <w:r>
        <w:t>7. Reflection</w:t>
      </w:r>
    </w:p>
    <w:p>
      <w:pPr>
        <w:spacing w:after="120" w:before="0"/>
      </w:pPr>
      <w:r>
        <w:rPr>
          <w:b w:val="0"/>
          <w:i w:val="0"/>
          <w:sz w:val="22"/>
        </w:rPr>
        <w:t>This first phase confirmed that defining a project properly is considerably more demanding than developing it. Our initial proposal was a mobile application for booking veterinary appointments. After researching the Chilean market we found several products already offering exactly that, which forced us to question whether our idea had any real value.</w:t>
      </w:r>
    </w:p>
    <w:p>
      <w:pPr>
        <w:spacing w:after="120" w:before="0"/>
      </w:pPr>
      <w:r>
        <w:rPr>
          <w:b w:val="0"/>
          <w:i w:val="0"/>
          <w:sz w:val="22"/>
        </w:rPr>
        <w:t>That question turned out to be the most productive part of the process. By examining how existing products actually deal with missed appointments, we discovered that all of them respond in the same way: sending identical reminders to every client, regardless of their history. The opportunity was not in creating another booking application, but in the information that no one is using. This shifted our project from a communication problem towards a data and risk management problem.</w:t>
      </w:r>
    </w:p>
    <w:p>
      <w:pPr>
        <w:spacing w:after="120" w:before="0"/>
      </w:pPr>
      <w:r>
        <w:rPr>
          <w:b w:val="0"/>
          <w:i w:val="0"/>
          <w:sz w:val="22"/>
        </w:rPr>
        <w:t>We also learned to design a project around the team we actually are, rather than around the team we would like to be. We identified our strengths in data modelling, risk management and quality assurance, and our limitations in mobile and front-end development. Instead of ignoring those limitations, we incorporated them into the scope definition and the risk matrix, establishing mitigation measures for each one. We believe this is a more honest and more professional approach than presenting a project we would not be able to complete.</w:t>
      </w:r>
    </w:p>
    <w:p>
      <w:pPr>
        <w:spacing w:after="120" w:before="0"/>
      </w:pPr>
      <w:r>
        <w:rPr>
          <w:b w:val="0"/>
          <w:i w:val="0"/>
          <w:sz w:val="22"/>
        </w:rPr>
        <w:t>Finally, visiting the clinics reminded us that technology only creates value when it reaches the people who need it. The tools required to solve this problem already exist, but they have not reached small clinics in peri-urban areas. Closing that gap is, in our view, a genuine contribution to our professional field.</w:t>
      </w:r>
    </w:p>
    <w:p>
      <w:r>
        <w:br w:type="page"/>
      </w:r>
    </w:p>
    <w:p>
      <w:pPr>
        <w:pStyle w:val="Heading1"/>
      </w:pPr>
      <w:r>
        <w:t>8. Referencias</w:t>
      </w:r>
    </w:p>
    <w:p>
      <w:pPr>
        <w:spacing w:after="120"/>
        <w:ind w:left="567" w:hanging="567"/>
      </w:pPr>
      <w:r>
        <w:rPr>
          <w:sz w:val="21"/>
        </w:rPr>
        <w:t>Instituto Nacional de Estadísticas. (2025). Síntesis de resultados Censo de Población y Vivienda 2024. Santiago, Chile: INE.</w:t>
      </w:r>
    </w:p>
    <w:p>
      <w:pPr>
        <w:spacing w:after="120"/>
        <w:ind w:left="567" w:hanging="567"/>
      </w:pPr>
      <w:r>
        <w:rPr>
          <w:sz w:val="21"/>
        </w:rPr>
        <w:t>Subsecretaría de Desarrollo Regional y Administrativo. (2022). Estudio de población animal de compañía en Chile. Programa Mascota Protegida, en convenio con la Facultad de Medicina Veterinaria, Pontificia Universidad Católica de Chile.</w:t>
      </w:r>
    </w:p>
    <w:p>
      <w:pPr>
        <w:spacing w:after="120"/>
        <w:ind w:left="567" w:hanging="567"/>
      </w:pPr>
      <w:r>
        <w:rPr>
          <w:sz w:val="21"/>
        </w:rPr>
        <w:t>Informes de Expertos. (2025). Mercado de cuidado de mascotas en Chile: análisis y proyección 2024-2034.</w:t>
      </w:r>
    </w:p>
    <w:p>
      <w:pPr>
        <w:spacing w:after="120"/>
        <w:ind w:left="567" w:hanging="567"/>
      </w:pPr>
      <w:r>
        <w:rPr>
          <w:sz w:val="21"/>
        </w:rPr>
        <w:t>Mi Negocio Veterinario. (2023). El negocio de mascotas en Chile representa cerca de US$ 1.400 millones al año.</w:t>
      </w:r>
    </w:p>
    <w:p>
      <w:pPr>
        <w:spacing w:after="120"/>
        <w:ind w:left="567" w:hanging="567"/>
      </w:pPr>
      <w:r>
        <w:rPr>
          <w:sz w:val="21"/>
        </w:rPr>
        <w:t>Wirevet. (2026). Software veterinario Wirevet: funcionalidades y planes. Recuperado de https://www.wirevet.cl</w:t>
      </w:r>
    </w:p>
    <w:p>
      <w:pPr>
        <w:spacing w:after="120"/>
        <w:ind w:left="567" w:hanging="567"/>
      </w:pPr>
      <w:r>
        <w:rPr>
          <w:sz w:val="21"/>
        </w:rPr>
        <w:t>ComparaSoftware Chile. (2026). Software para veterinarias disponibles en Chile. Recuperado de https://www.comparasoftware.cl/veterinario</w:t>
      </w:r>
    </w:p>
    <w:p>
      <w:pPr>
        <w:spacing w:after="120"/>
        <w:ind w:left="567" w:hanging="567"/>
      </w:pPr>
      <w:r>
        <w:rPr>
          <w:sz w:val="21"/>
        </w:rPr>
        <w:t>Chapman, P., Clinton, J., Kerber, R., Khabaza, T., Reinartz, T., Shearer, C., &amp; Wirth, R. (2000). CRISP-DM 1.0: Step-by-step data mining guide. SPSS Inc.</w:t>
      </w:r>
    </w:p>
    <w:p>
      <w:pPr>
        <w:spacing w:after="120"/>
        <w:ind w:left="567" w:hanging="567"/>
      </w:pPr>
      <w:r>
        <w:rPr>
          <w:sz w:val="21"/>
        </w:rPr>
        <w:t>Instituto Profesional Duoc UC. (2026). Perfil de egreso, carrera Ingeniería en Informática. Escuela de Informática y Telecomunicaciones.</w:t>
      </w:r>
    </w:p>
    <w:p>
      <w:pPr>
        <w:pStyle w:val="Heading1"/>
      </w:pPr>
      <w:r>
        <w:t>9. Anexos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200"/>
            <w:shd w:val="clear" w:color="auto" w:fill="D9E2EC"/>
          </w:tcPr>
          <w:p>
            <w:r>
              <w:rPr>
                <w:b/>
                <w:sz w:val="19"/>
              </w:rPr>
              <w:t>Anexo</w:t>
            </w:r>
          </w:p>
        </w:tc>
        <w:tc>
          <w:tcPr>
            <w:tcW w:type="dxa" w:w="3260"/>
            <w:shd w:val="clear" w:color="auto" w:fill="D9E2EC"/>
          </w:tcPr>
          <w:p>
            <w:r>
              <w:rPr>
                <w:b/>
                <w:sz w:val="19"/>
              </w:rPr>
              <w:t>Documento</w:t>
            </w:r>
          </w:p>
        </w:tc>
        <w:tc>
          <w:tcPr>
            <w:tcW w:type="dxa" w:w="4600"/>
            <w:shd w:val="clear" w:color="auto" w:fill="D9E2EC"/>
          </w:tcPr>
          <w:p>
            <w:r>
              <w:rPr>
                <w:b/>
                <w:sz w:val="19"/>
              </w:rPr>
              <w:t>Contenido</w:t>
            </w:r>
          </w:p>
        </w:tc>
      </w:tr>
      <w:tr>
        <w:tc>
          <w:tcPr>
            <w:tcW w:type="dxa" w:w="1200"/>
          </w:tcPr>
          <w:p>
            <w:pPr>
              <w:jc w:val="left"/>
            </w:pPr>
            <w:r>
              <w:rPr>
                <w:sz w:val="19"/>
              </w:rPr>
              <w:t>Anexo 1</w:t>
            </w:r>
          </w:p>
        </w:tc>
        <w:tc>
          <w:tcPr>
            <w:tcW w:type="dxa" w:w="3260"/>
          </w:tcPr>
          <w:p>
            <w:pPr>
              <w:jc w:val="left"/>
            </w:pPr>
            <w:r>
              <w:rPr>
                <w:sz w:val="19"/>
              </w:rPr>
              <w:t>Pauta de entrevista semiestructurada</w:t>
            </w:r>
          </w:p>
        </w:tc>
        <w:tc>
          <w:tcPr>
            <w:tcW w:type="dxa" w:w="4600"/>
          </w:tcPr>
          <w:p>
            <w:pPr>
              <w:jc w:val="left"/>
            </w:pPr>
            <w:r>
              <w:rPr>
                <w:sz w:val="19"/>
              </w:rPr>
              <w:t>Instrumento de levantamiento de requerimientos: ficha técnica, consentimiento informado y 33 preguntas distribuidas en cinco bloques.</w:t>
            </w:r>
          </w:p>
        </w:tc>
      </w:tr>
      <w:tr>
        <w:tc>
          <w:tcPr>
            <w:tcW w:type="dxa" w:w="1200"/>
          </w:tcPr>
          <w:p>
            <w:pPr>
              <w:jc w:val="left"/>
            </w:pPr>
            <w:r>
              <w:rPr>
                <w:sz w:val="19"/>
              </w:rPr>
              <w:t>Anexo 2</w:t>
            </w:r>
          </w:p>
        </w:tc>
        <w:tc>
          <w:tcPr>
            <w:tcW w:type="dxa" w:w="3260"/>
          </w:tcPr>
          <w:p>
            <w:pPr>
              <w:jc w:val="left"/>
            </w:pPr>
            <w:r>
              <w:rPr>
                <w:sz w:val="19"/>
              </w:rPr>
              <w:t>1.5 Guía del Estudiante — Definición Proyecto APT</w:t>
            </w:r>
          </w:p>
        </w:tc>
        <w:tc>
          <w:tcPr>
            <w:tcW w:type="dxa" w:w="4600"/>
          </w:tcPr>
          <w:p>
            <w:pPr>
              <w:jc w:val="left"/>
            </w:pPr>
            <w:r>
              <w:rPr>
                <w:sz w:val="19"/>
              </w:rPr>
              <w:t>Antecedentes, fundamentación, objetivos, metodología, evidencias, plan de trabajo y carta Gantt.</w:t>
            </w:r>
          </w:p>
        </w:tc>
      </w:tr>
      <w:tr>
        <w:tc>
          <w:tcPr>
            <w:tcW w:type="dxa" w:w="1200"/>
          </w:tcPr>
          <w:p>
            <w:pPr>
              <w:jc w:val="left"/>
            </w:pPr>
            <w:r>
              <w:rPr>
                <w:sz w:val="19"/>
              </w:rPr>
              <w:t>Anexo 3</w:t>
            </w:r>
          </w:p>
        </w:tc>
        <w:tc>
          <w:tcPr>
            <w:tcW w:type="dxa" w:w="3260"/>
          </w:tcPr>
          <w:p>
            <w:pPr>
              <w:jc w:val="left"/>
            </w:pPr>
            <w:r>
              <w:rPr>
                <w:sz w:val="19"/>
              </w:rPr>
              <w:t>1.1 Autoevaluación de competencias</w:t>
            </w:r>
          </w:p>
        </w:tc>
        <w:tc>
          <w:tcPr>
            <w:tcW w:type="dxa" w:w="4600"/>
          </w:tcPr>
          <w:p>
            <w:pPr>
              <w:jc w:val="left"/>
            </w:pPr>
            <w:r>
              <w:rPr>
                <w:sz w:val="19"/>
              </w:rPr>
              <w:t>Evidencia individual de cada integrante.</w:t>
            </w:r>
          </w:p>
        </w:tc>
      </w:tr>
      <w:tr>
        <w:tc>
          <w:tcPr>
            <w:tcW w:type="dxa" w:w="1200"/>
          </w:tcPr>
          <w:p>
            <w:pPr>
              <w:jc w:val="left"/>
            </w:pPr>
            <w:r>
              <w:rPr>
                <w:sz w:val="19"/>
              </w:rPr>
              <w:t>Anexo 4</w:t>
            </w:r>
          </w:p>
        </w:tc>
        <w:tc>
          <w:tcPr>
            <w:tcW w:type="dxa" w:w="3260"/>
          </w:tcPr>
          <w:p>
            <w:pPr>
              <w:jc w:val="left"/>
            </w:pPr>
            <w:r>
              <w:rPr>
                <w:sz w:val="19"/>
              </w:rPr>
              <w:t>1.2 Diario de reflexión</w:t>
            </w:r>
          </w:p>
        </w:tc>
        <w:tc>
          <w:tcPr>
            <w:tcW w:type="dxa" w:w="4600"/>
          </w:tcPr>
          <w:p>
            <w:pPr>
              <w:jc w:val="left"/>
            </w:pPr>
            <w:r>
              <w:rPr>
                <w:sz w:val="19"/>
              </w:rPr>
              <w:t>Evidencia individual de cada integrante.</w:t>
            </w:r>
          </w:p>
        </w:tc>
      </w:tr>
    </w:tbl>
    <w:p>
      <w:pPr>
        <w:spacing w:after="120"/>
      </w:pP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