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D6EAD9"/>
          </w:tcPr>
          <w:p>
            <w:r>
              <w:rPr>
                <w:b/>
                <w:color w:val="2E6B3F"/>
                <w:sz w:val="18"/>
              </w:rPr>
              <w:t>◄ SÍ, presente en el proyecto</w:t>
            </w:r>
          </w:p>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2F2F2"/>
          </w:tcPr>
          <w:p>
            <w:r>
              <w:rPr>
                <w:b/>
                <w:color w:val="8A9AA8"/>
                <w:sz w:val="18"/>
              </w:rPr>
              <w:t>No aplica: competencia no declarada</w:t>
            </w:r>
          </w:p>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D6EAD9"/>
          </w:tcPr>
          <w:p>
            <w:r>
              <w:rPr>
                <w:b/>
                <w:color w:val="2E6B3F"/>
                <w:sz w:val="20"/>
              </w:rPr>
              <w:t>◄ MI NIVEL</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D6EAD9"/>
          </w:tcPr>
          <w:p>
            <w:r>
              <w:rPr>
                <w:b/>
                <w:color w:val="2E6B3F"/>
                <w:sz w:val="20"/>
              </w:rPr>
              <w:t>◄ MI NIVEL</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D6EAD9"/>
          </w:tcPr>
          <w:p>
            <w:r>
              <w:rPr>
                <w:b/>
                <w:color w:val="2E6B3F"/>
                <w:sz w:val="20"/>
              </w:rPr>
              <w:t>◄ MI NIVEL</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D6EAD9"/>
          </w:tcPr>
          <w:p>
            <w:r>
              <w:rPr>
                <w:b/>
                <w:color w:val="2E6B3F"/>
                <w:sz w:val="20"/>
              </w:rPr>
              <w:t>◄ MI NIVEL</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D6EAD9"/>
          </w:tcPr>
          <w:p>
            <w:r>
              <w:rPr>
                <w:b/>
                <w:color w:val="2E6B3F"/>
                <w:sz w:val="20"/>
              </w:rPr>
              <w:t>◄ MI NIVEL</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D6EAD9"/>
          </w:tcPr>
          <w:p>
            <w:r>
              <w:rPr>
                <w:b/>
                <w:color w:val="2E6B3F"/>
                <w:sz w:val="20"/>
              </w:rPr>
              <w:t>◄ MI NIVEL</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D6EAD9"/>
          </w:tcPr>
          <w:p>
            <w:r>
              <w:rPr>
                <w:b/>
                <w:color w:val="2E6B3F"/>
                <w:sz w:val="20"/>
              </w:rPr>
              <w:t>◄ MI NIVEL</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D6EAD9"/>
          </w:tcPr>
          <w:p>
            <w:r>
              <w:rPr>
                <w:b/>
                <w:color w:val="2E6B3F"/>
                <w:sz w:val="20"/>
              </w:rPr>
              <w:t>◄ MI NIVEL</w:t>
            </w:r>
          </w:p>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FBEFD9"/>
          </w:tcPr>
          <w:p>
            <w:r>
              <w:rPr>
                <w:b/>
                <w:color w:val="9A6A1F"/>
                <w:sz w:val="20"/>
              </w:rPr>
              <w:t>◄ MI NIVEL</w:t>
            </w:r>
          </w:p>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FBEFD9"/>
          </w:tcPr>
          <w:p>
            <w:r>
              <w:rPr>
                <w:b/>
                <w:color w:val="9A6A1F"/>
                <w:sz w:val="20"/>
              </w:rPr>
              <w:t>◄ MI NIVEL</w:t>
            </w:r>
          </w:p>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FBEFD9"/>
          </w:tcPr>
          <w:p>
            <w:r>
              <w:rPr>
                <w:b/>
                <w:color w:val="9A6A1F"/>
                <w:sz w:val="20"/>
              </w:rPr>
              <w:t>◄ MI NIVEL</w:t>
            </w:r>
          </w:p>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FBEFD9"/>
          </w:tcPr>
          <w:p>
            <w:r>
              <w:rPr>
                <w:b/>
                <w:color w:val="9A6A1F"/>
                <w:sz w:val="20"/>
              </w:rPr>
              <w:t>◄ MI NIVEL</w:t>
            </w:r>
          </w:p>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spacing w:after="160"/>
      </w:pPr>
      <w:r>
        <w:rPr>
          <w:b/>
          <w:i w:val="0"/>
          <w:color w:val="1F3A5F"/>
          <w:sz w:val="32"/>
        </w:rPr>
        <w:t>Síntesis de la autoevaluación</w:t>
      </w:r>
    </w:p>
    <w:p>
      <w:pPr>
        <w:spacing w:after="40"/>
      </w:pPr>
      <w:r>
        <w:rPr>
          <w:b w:val="0"/>
          <w:i/>
          <w:sz w:val="21"/>
        </w:rPr>
        <w:t>Estudiante: Katalina Alejandra Mora Quiñones · Equipo: Katalina Mora y Uciell Madrid</w:t>
      </w:r>
    </w:p>
    <w:p>
      <w:pPr>
        <w:spacing w:after="200"/>
      </w:pPr>
      <w:r>
        <w:rPr>
          <w:b w:val="0"/>
          <w:i/>
          <w:sz w:val="21"/>
        </w:rPr>
        <w:t>Proyecto APT: PreVet — Sistema predictivo de gestión del riesgo de inasistencia para clínicas veterinarias</w:t>
      </w:r>
    </w:p>
    <w:p>
      <w:pPr>
        <w:spacing w:after="160"/>
      </w:pPr>
      <w:r>
        <w:rPr>
          <w:b/>
          <w:i w:val="0"/>
          <w:color w:val="1F3A5F"/>
          <w:sz w:val="26"/>
        </w:rPr>
        <w:t>Nivel de logro alcanzado: 84%</w:t>
      </w:r>
    </w:p>
    <w:p>
      <w:pPr>
        <w:spacing w:after="200"/>
      </w:pPr>
      <w:r>
        <w:rPr>
          <w:b w:val="0"/>
          <w:i w:val="0"/>
          <w:sz w:val="22"/>
        </w:rPr>
        <w:t>Ocho de los doce indicadores quedaron en Completamente Logrado y cuatro en Logrado. Los cuatro que no alcanzan el nivel máximo corresponden a aspectos formales y a evidencias que, por la naturaleza de la Fase 1, todavía no pueden estar cumplidas.</w:t>
      </w:r>
    </w:p>
    <w:p>
      <w:pPr>
        <w:spacing w:after="120"/>
      </w:pPr>
      <w:r>
        <w:rPr>
          <w:b/>
          <w:i w:val="0"/>
          <w:color w:val="1F3A5F"/>
          <w:sz w:val="26"/>
        </w:rPr>
        <w:t>Fortalezas identificadas</w:t>
      </w:r>
    </w:p>
    <w:p>
      <w:pPr>
        <w:spacing w:after="80"/>
      </w:pPr>
      <w:r>
        <w:rPr>
          <w:b w:val="0"/>
          <w:i w:val="0"/>
          <w:sz w:val="22"/>
        </w:rPr>
        <w:t>•  La fundamentación del proyecto está respaldada con datos del sector y con observación propia en terreno en clínicas de Lo Pinto y Batuco.</w:t>
      </w:r>
    </w:p>
    <w:p>
      <w:pPr>
        <w:spacing w:after="80"/>
      </w:pPr>
      <w:r>
        <w:rPr>
          <w:b w:val="0"/>
          <w:i w:val="0"/>
          <w:sz w:val="22"/>
        </w:rPr>
        <w:t>•  Los objetivos y la metodología son sólidos: CRISP-DM para el trabajo analítico y un marco ágil para la gestión, ambos pertinentes a la disciplina.</w:t>
      </w:r>
    </w:p>
    <w:p>
      <w:pPr>
        <w:spacing w:after="80"/>
      </w:pPr>
      <w:r>
        <w:rPr>
          <w:b w:val="0"/>
          <w:i w:val="0"/>
          <w:sz w:val="22"/>
        </w:rPr>
        <w:t>•  El plan de trabajo y las evidencias están completos y justificados, con responsables, recursos y duraciones por actividad.</w:t>
      </w:r>
    </w:p>
    <w:p>
      <w:pPr>
        <w:spacing w:after="80"/>
      </w:pPr>
      <w:r>
        <w:rPr>
          <w:b w:val="0"/>
          <w:i w:val="0"/>
          <w:sz w:val="22"/>
        </w:rPr>
        <w:t>•  El alcance está deliberadamente acotado y los riesgos declarados con su mitigación, lo que hace el proyecto realizable en el período académico.</w:t>
      </w:r>
    </w:p>
    <w:p/>
    <w:p>
      <w:pPr>
        <w:spacing w:after="120"/>
      </w:pPr>
      <w:r>
        <w:rPr>
          <w:b/>
          <w:i w:val="0"/>
          <w:color w:val="1F3A5F"/>
          <w:sz w:val="26"/>
        </w:rPr>
        <w:t>Aspectos por mejorar y acciones concretas</w:t>
      </w:r>
    </w:p>
    <w:p>
      <w:pPr>
        <w:spacing w:after="40"/>
      </w:pPr>
      <w:r>
        <w:rPr>
          <w:b/>
          <w:i w:val="0"/>
          <w:sz w:val="23"/>
        </w:rPr>
        <w:t>Indicador 9 · Citas y referencias</w:t>
      </w:r>
    </w:p>
    <w:p>
      <w:pPr>
        <w:spacing w:after="160"/>
      </w:pPr>
      <w:r>
        <w:rPr>
          <w:b w:val="0"/>
          <w:i w:val="0"/>
          <w:sz w:val="22"/>
        </w:rPr>
        <w:t>Normalizar en formato APA las cifras del sector que hoy aparecen citadas de manera informal en la guía de definición, igualándolas al informe técnico.</w:t>
      </w:r>
    </w:p>
    <w:p>
      <w:pPr>
        <w:spacing w:after="40"/>
      </w:pPr>
      <w:r>
        <w:rPr>
          <w:b/>
          <w:i w:val="0"/>
          <w:sz w:val="23"/>
        </w:rPr>
        <w:t>Indicador 10 · Formato del informe</w:t>
      </w:r>
    </w:p>
    <w:p>
      <w:pPr>
        <w:spacing w:after="160"/>
      </w:pPr>
      <w:r>
        <w:rPr>
          <w:b w:val="0"/>
          <w:i w:val="0"/>
          <w:sz w:val="22"/>
        </w:rPr>
        <w:t>Confirmar con el docente si corresponde utilizar la plantilla oficial de informe de la Escuela y migrar el documento si así fuera.</w:t>
      </w:r>
    </w:p>
    <w:p>
      <w:pPr>
        <w:spacing w:after="40"/>
      </w:pPr>
      <w:r>
        <w:rPr>
          <w:b/>
          <w:i w:val="0"/>
          <w:sz w:val="23"/>
        </w:rPr>
        <w:t>Indicador 11 · Indicadores de calidad</w:t>
      </w:r>
    </w:p>
    <w:p>
      <w:pPr>
        <w:spacing w:after="160"/>
      </w:pPr>
      <w:r>
        <w:rPr>
          <w:b w:val="0"/>
          <w:i w:val="0"/>
          <w:sz w:val="22"/>
        </w:rPr>
        <w:t>Los indicadores de aplicación de pruebas y de mejora del producto se cumplen recién en Fase 2 y 3. Dejar explícito en el informe en qué fase se evidencia cada uno.</w:t>
      </w:r>
    </w:p>
    <w:p>
      <w:pPr>
        <w:spacing w:after="40"/>
      </w:pPr>
      <w:r>
        <w:rPr>
          <w:b/>
          <w:i w:val="0"/>
          <w:sz w:val="23"/>
        </w:rPr>
        <w:t>Indicador 12 · Redacción en inglés</w:t>
      </w:r>
    </w:p>
    <w:p>
      <w:pPr>
        <w:spacing w:after="160"/>
      </w:pPr>
      <w:r>
        <w:rPr>
          <w:b w:val="0"/>
          <w:i w:val="0"/>
          <w:sz w:val="22"/>
        </w:rPr>
        <w:t>Revisar el abstract, las conclusiones y la reflexión en inglés para poder sostener su contenido al ser consultada durante la presentación.</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