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B2160"/>
          <w:sz w:val="44"/>
        </w:rPr>
        <w:t>Modelo del proceso (BPMN)</w:t>
      </w:r>
    </w:p>
    <w:p>
      <w:r>
        <w:rPr>
          <w:color w:val="B8336A"/>
          <w:sz w:val="23"/>
        </w:rPr>
        <w:t>Agendamiento, confirmación, cancelación y atención · versión preliminar al 19-10-2026</w:t>
      </w:r>
    </w:p>
    <w:p>
      <w:r>
        <w:rPr>
          <w:color w:val="5A5570"/>
          <w:sz w:val="19"/>
        </w:rPr>
        <w:t>Equipo: Katalina Mora Quiñones y Uciell Madrid · Docente: Juan Alberto Gana Reyes · Sección CAPSTONE_007V</w:t>
      </w:r>
    </w:p>
    <w:p>
      <w:pPr>
        <w:pStyle w:val="Heading1"/>
      </w:pPr>
      <w:r>
        <w:t>1. Alcance y estado</w:t>
      </w:r>
    </w:p>
    <w:p>
      <w:pPr>
        <w:jc w:val="both"/>
      </w:pPr>
      <w:r>
        <w:rPr>
          <w:b w:val="0"/>
          <w:i w:val="0"/>
        </w:rPr>
        <w:t xml:space="preserve">Este documento modela el proceso que da origen a la inasistencia (objetivo específico 2). Incluye dos vistas: el proceso </w:t>
      </w:r>
      <w:r>
        <w:rPr>
          <w:b/>
          <w:i w:val="0"/>
        </w:rPr>
        <w:t>actual (AS-IS)</w:t>
      </w:r>
      <w:r>
        <w:rPr>
          <w:b w:val="0"/>
          <w:i w:val="0"/>
        </w:rPr>
        <w:t xml:space="preserve"> de una clínica pequeña, construido a partir de la observación en terreno de la Fase 1, y el proceso </w:t>
      </w:r>
      <w:r>
        <w:rPr>
          <w:b/>
          <w:i w:val="0"/>
        </w:rPr>
        <w:t>con PreVet (TO-BE)</w:t>
      </w:r>
      <w:r>
        <w:rPr>
          <w:b w:val="0"/>
          <w:i w:val="0"/>
        </w:rPr>
        <w:t>, que corresponde a lo que el sistema ya implementa. El AS-IS es preliminar: se valida y se completa con la entrevista a la Clínica Veterinaria Clan del Sprint 4, y después se traspasa a Bizagi Modeler como versión definitiva.</w:t>
      </w:r>
    </w:p>
    <w:p>
      <w:pPr>
        <w:pStyle w:val="Heading1"/>
      </w:pPr>
      <w:r>
        <w:t>2. Proceso actual (AS-IS)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2410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et_BPMN_AS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2410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/>
          <w:i w:val="0"/>
        </w:rPr>
        <w:t>Punto crítico.</w:t>
      </w:r>
      <w:r>
        <w:rPr>
          <w:b w:val="0"/>
          <w:i w:val="0"/>
        </w:rPr>
        <w:t xml:space="preserve"> Cuando el tutor no llega, la hora no se completa ni se cancela: queda pendiente para siempre. Como la inasistencia nunca se registra, la clínica no puede medir cuántas horas pierde, en qué días o con qué clientes, ni cuánto le cuesta. El recordatorio, cuando existe, es igual para todos los clientes.</w:t>
      </w:r>
    </w:p>
    <w:p>
      <w:pPr>
        <w:pStyle w:val="Heading2"/>
      </w:pPr>
      <w:r>
        <w:t>Preguntas que la entrevista debe confirmar</w:t>
      </w:r>
    </w:p>
    <w:p>
      <w:pPr>
        <w:spacing w:after="60"/>
        <w:ind w:left="340" w:hanging="227"/>
        <w:jc w:val="both"/>
      </w:pPr>
      <w:r>
        <w:rPr>
          <w:b w:val="0"/>
          <w:i w:val="0"/>
        </w:rPr>
        <w:t>1. ¿Dónde se anota hoy cada hora agendada (cuaderno, planilla, WhatsApp, otro sistema)?</w:t>
      </w:r>
    </w:p>
    <w:p>
      <w:pPr>
        <w:spacing w:after="60"/>
        <w:ind w:left="340" w:hanging="227"/>
        <w:jc w:val="both"/>
      </w:pPr>
      <w:r>
        <w:rPr>
          <w:b w:val="0"/>
          <w:i w:val="0"/>
        </w:rPr>
        <w:t>2. ¿Se confirma la hora antes de la cita? ¿Quién lo hace, cuándo y por qué canal?</w:t>
      </w:r>
    </w:p>
    <w:p>
      <w:pPr>
        <w:spacing w:after="60"/>
        <w:ind w:left="340" w:hanging="227"/>
        <w:jc w:val="both"/>
      </w:pPr>
      <w:r>
        <w:rPr>
          <w:b w:val="0"/>
          <w:i w:val="0"/>
        </w:rPr>
        <w:t>3. ¿Qué se hace hoy cuando un tutor no llega? ¿Se reasigna el bloque?</w:t>
      </w:r>
    </w:p>
    <w:p>
      <w:pPr>
        <w:spacing w:after="60"/>
        <w:ind w:left="340" w:hanging="227"/>
        <w:jc w:val="both"/>
      </w:pPr>
      <w:r>
        <w:rPr>
          <w:b w:val="0"/>
          <w:i w:val="0"/>
        </w:rPr>
        <w:t>4. ¿Cuánto vale una consulta y cuántas horas se pierden en una semana normal?</w:t>
      </w:r>
    </w:p>
    <w:p>
      <w:pPr>
        <w:pStyle w:val="Heading1"/>
      </w:pPr>
      <w:r>
        <w:t>3. Proceso con PreVet (TO-BE)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000000" cy="19229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et_BPMN_TO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192298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9355"/>
      </w:tblGrid>
      <w:tr>
        <w:tc>
          <w:tcPr>
            <w:tcW w:type="dxa" w:w="1984"/>
            <w:shd w:val="clear" w:color="auto" w:fill="2B2160"/>
          </w:tcPr>
          <w:p>
            <w:r/>
            <w:r>
              <w:rPr>
                <w:b/>
                <w:color w:val="FAF8FD"/>
                <w:sz w:val="18"/>
              </w:rPr>
              <w:t>Paso</w:t>
            </w:r>
          </w:p>
        </w:tc>
        <w:tc>
          <w:tcPr>
            <w:tcW w:type="dxa" w:w="1984"/>
            <w:shd w:val="clear" w:color="auto" w:fill="2B2160"/>
          </w:tcPr>
          <w:p>
            <w:r/>
            <w:r>
              <w:rPr>
                <w:b/>
                <w:color w:val="FAF8FD"/>
                <w:sz w:val="18"/>
              </w:rPr>
              <w:t>Quién</w:t>
            </w:r>
          </w:p>
        </w:tc>
        <w:tc>
          <w:tcPr>
            <w:tcW w:type="dxa" w:w="9354"/>
            <w:shd w:val="clear" w:color="auto" w:fill="2B2160"/>
          </w:tcPr>
          <w:p>
            <w:r/>
            <w:r>
              <w:rPr>
                <w:b/>
                <w:color w:val="FAF8FD"/>
                <w:sz w:val="18"/>
              </w:rPr>
              <w:t>Qué ocurre en PreVet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8"/>
              </w:rPr>
              <w:t>Agendar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8"/>
              </w:rPr>
              <w:t>Recepción</w:t>
            </w:r>
          </w:p>
        </w:tc>
        <w:tc>
          <w:tcPr>
            <w:tcW w:type="dxa" w:w="9354"/>
          </w:tcPr>
          <w:p>
            <w:r/>
            <w:r>
              <w:rPr>
                <w:b w:val="0"/>
                <w:sz w:val="18"/>
              </w:rPr>
              <w:t>Busca al cliente por RUT (lo crea si no existe) y agenda veterinario, tipo de atención, fecha y bloque. El sistema valida el horario del profesional y que el bloque esté libre.</w:t>
            </w:r>
          </w:p>
        </w:tc>
      </w:tr>
      <w:tr>
        <w:tc>
          <w:tcPr>
            <w:tcW w:type="dxa" w:w="1984"/>
            <w:shd w:val="clear" w:color="auto" w:fill="F1EEFC"/>
          </w:tcPr>
          <w:p>
            <w:r/>
            <w:r>
              <w:rPr>
                <w:b w:val="0"/>
                <w:sz w:val="18"/>
              </w:rPr>
              <w:t>Estimar el riesgo</w:t>
            </w:r>
          </w:p>
        </w:tc>
        <w:tc>
          <w:tcPr>
            <w:tcW w:type="dxa" w:w="1984"/>
            <w:shd w:val="clear" w:color="auto" w:fill="F1EEFC"/>
          </w:tcPr>
          <w:p>
            <w:r/>
            <w:r>
              <w:rPr>
                <w:b w:val="0"/>
                <w:sz w:val="18"/>
              </w:rPr>
              <w:t>Sistema</w:t>
            </w:r>
          </w:p>
        </w:tc>
        <w:tc>
          <w:tcPr>
            <w:tcW w:type="dxa" w:w="9354"/>
            <w:shd w:val="clear" w:color="auto" w:fill="F1EEFC"/>
          </w:tcPr>
          <w:p>
            <w:r/>
            <w:r>
              <w:rPr>
                <w:b w:val="0"/>
                <w:sz w:val="18"/>
              </w:rPr>
              <w:t>Calcula un puntaje de 0 a 100 con el historial del tutor (40), la anticipación de la reserva (20), el día de la semana (20) y el tipo de atención (20), y lo clasifica en alto, medio o bajo.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8"/>
              </w:rPr>
              <w:t>Preparar la jornada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8"/>
              </w:rPr>
              <w:t>Recepción</w:t>
            </w:r>
          </w:p>
        </w:tc>
        <w:tc>
          <w:tcPr>
            <w:tcW w:type="dxa" w:w="9354"/>
          </w:tcPr>
          <w:p>
            <w:r/>
            <w:r>
              <w:rPr>
                <w:b w:val="0"/>
                <w:sz w:val="18"/>
              </w:rPr>
              <w:t>El día anterior revisa las horas en riesgo y el panel del día, y contacta al tutor según el nivel: alto, llamar y ofrecer el bloque en lista de espera; medio, reforzar el recordatorio; bajo, sin acción.</w:t>
            </w:r>
          </w:p>
        </w:tc>
      </w:tr>
      <w:tr>
        <w:tc>
          <w:tcPr>
            <w:tcW w:type="dxa" w:w="1984"/>
            <w:shd w:val="clear" w:color="auto" w:fill="F1EEFC"/>
          </w:tcPr>
          <w:p>
            <w:r/>
            <w:r>
              <w:rPr>
                <w:b w:val="0"/>
                <w:sz w:val="18"/>
              </w:rPr>
              <w:t>Cancelar o reagendar</w:t>
            </w:r>
          </w:p>
        </w:tc>
        <w:tc>
          <w:tcPr>
            <w:tcW w:type="dxa" w:w="1984"/>
            <w:shd w:val="clear" w:color="auto" w:fill="F1EEFC"/>
          </w:tcPr>
          <w:p>
            <w:r/>
            <w:r>
              <w:rPr>
                <w:b w:val="0"/>
                <w:sz w:val="18"/>
              </w:rPr>
              <w:t>Recepción</w:t>
            </w:r>
          </w:p>
        </w:tc>
        <w:tc>
          <w:tcPr>
            <w:tcW w:type="dxa" w:w="9354"/>
            <w:shd w:val="clear" w:color="auto" w:fill="F1EEFC"/>
          </w:tcPr>
          <w:p>
            <w:r/>
            <w:r>
              <w:rPr>
                <w:b w:val="0"/>
                <w:sz w:val="18"/>
              </w:rPr>
              <w:t>Si el tutor no puede asistir, la cita se cancela con motivo o se reagenda, sin borrar su historial.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8"/>
              </w:rPr>
              <w:t>Atender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8"/>
              </w:rPr>
              <w:t>Recepción y Veterinario</w:t>
            </w:r>
          </w:p>
        </w:tc>
        <w:tc>
          <w:tcPr>
            <w:tcW w:type="dxa" w:w="9354"/>
          </w:tcPr>
          <w:p>
            <w:r/>
            <w:r>
              <w:rPr>
                <w:b w:val="0"/>
                <w:sz w:val="18"/>
              </w:rPr>
              <w:t>Recepción registra la llegada y el veterinario atiende y marca la cita como Completada.</w:t>
            </w:r>
          </w:p>
        </w:tc>
      </w:tr>
      <w:tr>
        <w:tc>
          <w:tcPr>
            <w:tcW w:type="dxa" w:w="1984"/>
            <w:shd w:val="clear" w:color="auto" w:fill="F1EEFC"/>
          </w:tcPr>
          <w:p>
            <w:r/>
            <w:r>
              <w:rPr>
                <w:b w:val="0"/>
                <w:sz w:val="18"/>
              </w:rPr>
              <w:t>Registrar la inasistencia</w:t>
            </w:r>
          </w:p>
        </w:tc>
        <w:tc>
          <w:tcPr>
            <w:tcW w:type="dxa" w:w="1984"/>
            <w:shd w:val="clear" w:color="auto" w:fill="F1EEFC"/>
          </w:tcPr>
          <w:p>
            <w:r/>
            <w:r>
              <w:rPr>
                <w:b w:val="0"/>
                <w:sz w:val="18"/>
              </w:rPr>
              <w:t>Recepción y Sistema</w:t>
            </w:r>
          </w:p>
        </w:tc>
        <w:tc>
          <w:tcPr>
            <w:tcW w:type="dxa" w:w="9354"/>
            <w:shd w:val="clear" w:color="auto" w:fill="F1EEFC"/>
          </w:tcPr>
          <w:p>
            <w:r/>
            <w:r>
              <w:rPr>
                <w:b w:val="0"/>
                <w:sz w:val="18"/>
              </w:rPr>
              <w:t>Si el tutor no llega, la cita se marca «No asistió»; el sistema guarda la fecha y el monto no percibido, y actualiza los indicadores y el historial del tutor.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Cambio principal respecto del AS-IS:</w:t>
      </w:r>
      <w:r>
        <w:rPr>
          <w:b w:val="0"/>
          <w:i w:val="0"/>
        </w:rPr>
        <w:t xml:space="preserve"> la inasistencia pasa a ser un estado registrado, que alimenta los indicadores y el modelo de riesgo, y el contacto previo deja de ser igual para todos.</w:t>
      </w:r>
    </w:p>
    <w:sectPr w:rsidR="00FC693F" w:rsidRPr="0006063C" w:rsidSect="00034616">
      <w:headerReference w:type="default" r:id="rId9"/>
      <w:pgSz w:w="15840" w:h="12240" w:orient="landscape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A5570"/>
        <w:sz w:val="17"/>
      </w:rPr>
      <w:t>PreVet · Proyecto APT Capstone PTY4614 · Duoc UC        Evidencia de documentación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B216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B216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