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E04" w:rsidRDefault="0016527A" w:rsidP="00FD305A">
      <w:pPr>
        <w:jc w:val="center"/>
        <w:rPr>
          <w:color w:val="FF0000"/>
          <w:sz w:val="44"/>
          <w:szCs w:val="44"/>
        </w:rPr>
      </w:pPr>
      <w:r w:rsidRPr="0016527A">
        <w:rPr>
          <w:color w:val="FF0000"/>
          <w:sz w:val="44"/>
          <w:szCs w:val="44"/>
        </w:rPr>
        <w:t>Efficient and Privacy-Preserving Decision Tree Classification for Health Monitoring Systems</w:t>
      </w:r>
    </w:p>
    <w:p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DC07AC" w:rsidRPr="00905420" w:rsidRDefault="002A6F54" w:rsidP="002A6F5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A6F54">
        <w:rPr>
          <w:sz w:val="28"/>
          <w:szCs w:val="28"/>
        </w:rPr>
        <w:t>Due to the increasing health care costs and the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advance of wireless technology, health monitoring systems have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been widely adopted recently. In health monitoring systems, a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hospital outsources a clinical decision model to a cloud service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provider, which receives biomedical data from remote clients and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produces clinical decisions based on the outsourced model. Due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to critical privacy concerns, both the clinical decision model and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biomedical data should be protected. In this paper, we propose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an efficient and privacy-preserving decision tree classification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scheme (PPDT) for health monitoring systems. Specifically, we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first transform a decision tree classifier (i.e. the clinical decision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model) to boolean vectors. Then, we leverage symmetric key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encryption to encrypt the boolean vectors as encrypted indexes.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The privacy-preserving decision tree classification is achieved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by searching the encrypted indexes with encrypted tokens. We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formulate a leakage function, and provide security definition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and simulation-based proof for PPDT. The performance analyses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demonstrate that PPDT is very efficient in terms of computation,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communication, and storage. Experimental evaluations show that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PPDT only requires microsecond-level execution time, kilobyte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level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communication costs, and kilobyte-level storage costs on the</w:t>
      </w:r>
      <w:r w:rsidR="00905420">
        <w:rPr>
          <w:sz w:val="28"/>
          <w:szCs w:val="28"/>
        </w:rPr>
        <w:t xml:space="preserve"> </w:t>
      </w:r>
      <w:r w:rsidRPr="002A6F54">
        <w:rPr>
          <w:sz w:val="28"/>
          <w:szCs w:val="28"/>
        </w:rPr>
        <w:t>test dataset.</w:t>
      </w: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E80FD0" w:rsidRDefault="00E80FD0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E80FD0" w:rsidRDefault="00E80FD0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E80FD0" w:rsidRDefault="00E80FD0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E80FD0" w:rsidRDefault="00E80FD0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E80FD0" w:rsidRPr="00DC07AC" w:rsidRDefault="00E80FD0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1E1975" w:rsidRDefault="00E03ADB" w:rsidP="00104C0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04C0A">
        <w:rPr>
          <w:sz w:val="28"/>
          <w:szCs w:val="28"/>
        </w:rPr>
        <w:t>HE-based schemes. Most of the HE-based schemes consider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a hospital-client setting for health monitoring systems [10]–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[13]. In this setting, the hospital’</w:t>
      </w:r>
      <w:r w:rsidR="001E1975">
        <w:rPr>
          <w:sz w:val="28"/>
          <w:szCs w:val="28"/>
        </w:rPr>
        <w:t xml:space="preserve">s clinical </w:t>
      </w:r>
      <w:r w:rsidRPr="00104C0A">
        <w:rPr>
          <w:sz w:val="28"/>
          <w:szCs w:val="28"/>
        </w:rPr>
        <w:t>decision tree model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is required to be protected from the client, while the client’s</w:t>
      </w:r>
      <w:r w:rsidR="001E1975">
        <w:rPr>
          <w:sz w:val="28"/>
          <w:szCs w:val="28"/>
        </w:rPr>
        <w:t xml:space="preserve">  </w:t>
      </w:r>
      <w:r w:rsidRPr="00104C0A">
        <w:rPr>
          <w:sz w:val="28"/>
          <w:szCs w:val="28"/>
        </w:rPr>
        <w:t>biomedical features and clinical predictions are required tobe protected from the hospital. HE-based schemes protect the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privacy of clinical model and biomedical data by utilizing FHE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[10], [11] or AHE [12], [13]. Although HE-based schemes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enable privacy-preserving decision tree classification for health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monitoring systems, these schemes may face high computational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costs due to high-complexity homomorphic operations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 xml:space="preserve">[10]–[13]. </w:t>
      </w:r>
    </w:p>
    <w:p w:rsidR="001E1975" w:rsidRDefault="001E1975" w:rsidP="00104C0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03ADB" w:rsidRPr="00104C0A" w:rsidRDefault="00E03ADB" w:rsidP="00104C0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04C0A">
        <w:rPr>
          <w:sz w:val="28"/>
          <w:szCs w:val="28"/>
        </w:rPr>
        <w:t>To achieve efficient health monitoring services, it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is desirable to design a scheme with low computation costs.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Namely, achieving sub-linear computational complexity and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avoiding cryptographic tools with expensive computational</w:t>
      </w:r>
    </w:p>
    <w:p w:rsidR="00681BE9" w:rsidRPr="00104C0A" w:rsidRDefault="00E03ADB" w:rsidP="00104C0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04C0A">
        <w:rPr>
          <w:sz w:val="28"/>
          <w:szCs w:val="28"/>
        </w:rPr>
        <w:t>costs.</w:t>
      </w:r>
    </w:p>
    <w:p w:rsidR="005D3E53" w:rsidRPr="00104C0A" w:rsidRDefault="005D3E53" w:rsidP="00104C0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A16CA" w:rsidRPr="00104C0A" w:rsidRDefault="00BA16CA" w:rsidP="00104C0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04C0A">
        <w:rPr>
          <w:sz w:val="28"/>
          <w:szCs w:val="28"/>
        </w:rPr>
        <w:t>MPC-based schemes. Considering a system model with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multiple non-colluding hospitals or multiple non-colluding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clients, most of the MPC-based schemes evaluate the prediction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interactively and collaboratively. MPC-based schemes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protect the privacy of both clinical decision model and biomedical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data by utilizing tailored GC [15], SS [16], [19], or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hybrid cryptographic tools that combine OT, SS, GC, and</w:t>
      </w:r>
    </w:p>
    <w:p w:rsidR="001E1975" w:rsidRPr="00104C0A" w:rsidRDefault="00BA16CA" w:rsidP="00104C0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04C0A">
        <w:rPr>
          <w:sz w:val="28"/>
          <w:szCs w:val="28"/>
        </w:rPr>
        <w:t>AHE [16]–[18]. Although MPC-based schemes avoid using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high-complexity encryption, these schemes are designed based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on a multiple party non-collusion security assumption and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incur prohibitive communication costs due to collaboratively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evaluation. To achieve real-time health monitoring services, it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is important to design a novel scheme with low communication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costs, i.e., avoiding MPC techniques.</w:t>
      </w:r>
      <w:r w:rsidR="00892ECB">
        <w:rPr>
          <w:sz w:val="28"/>
          <w:szCs w:val="28"/>
        </w:rPr>
        <w:t xml:space="preserve"> </w:t>
      </w:r>
    </w:p>
    <w:p w:rsidR="00BA16CA" w:rsidRPr="00104C0A" w:rsidRDefault="00BA16CA" w:rsidP="00104C0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04C0A">
        <w:rPr>
          <w:sz w:val="28"/>
          <w:szCs w:val="28"/>
        </w:rPr>
        <w:lastRenderedPageBreak/>
        <w:t>SSE-based schemes. To improve the computational and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communication efficiency for health monitoring systems,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Liang et al. consider a system model that involves a hospital, a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client, and a cloud service provider. In this setting, the hospital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outsources the clinical decision model to a cloud service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provider, and thus the clinical decision model and biomedical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data should be protected against the cloud service provider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[20]. Liang et al. extract decision rules from decision tree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classifiers, and develop an SSE-based scheme (SDTC) with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O(1) computational complexity and 1 round communication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interaction [20]. Yet, since the size of indexes in SDTC are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exponential to the size of the decision tree class</w:t>
      </w:r>
      <w:r w:rsidR="001E1975">
        <w:rPr>
          <w:sz w:val="28"/>
          <w:szCs w:val="28"/>
        </w:rPr>
        <w:t>i</w:t>
      </w:r>
      <w:r w:rsidRPr="00104C0A">
        <w:rPr>
          <w:sz w:val="28"/>
          <w:szCs w:val="28"/>
        </w:rPr>
        <w:t>fier, SDTC</w:t>
      </w:r>
      <w:r w:rsidR="00892ECB">
        <w:rPr>
          <w:sz w:val="28"/>
          <w:szCs w:val="28"/>
        </w:rPr>
        <w:t xml:space="preserve"> </w:t>
      </w:r>
      <w:r w:rsidR="001E1975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suffers from prohibitive storage overheads. Furthermore, the</w:t>
      </w:r>
      <w:r w:rsidR="00892ECB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large size of indexes increase both the computational cost</w:t>
      </w:r>
      <w:r w:rsidR="00892ECB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and the communication cost of SDTC. To achieve practical</w:t>
      </w:r>
      <w:r w:rsidR="00892ECB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health monitoring services, it is important to design a scheme</w:t>
      </w:r>
      <w:r w:rsidR="00892ECB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with low storage costs. Namely, the storage cost should not</w:t>
      </w:r>
      <w:r w:rsidR="00892ECB">
        <w:rPr>
          <w:sz w:val="28"/>
          <w:szCs w:val="28"/>
        </w:rPr>
        <w:t xml:space="preserve"> </w:t>
      </w:r>
      <w:r w:rsidRPr="00104C0A">
        <w:rPr>
          <w:sz w:val="28"/>
          <w:szCs w:val="28"/>
        </w:rPr>
        <w:t>be exponential to the size of the input domain.</w:t>
      </w:r>
    </w:p>
    <w:p w:rsidR="00BA16CA" w:rsidRDefault="00BA16CA" w:rsidP="00681BE9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</w:p>
    <w:p w:rsidR="00681BE9" w:rsidRPr="0007312F" w:rsidRDefault="00681BE9" w:rsidP="00681BE9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03196C" w:rsidRPr="00EC3137" w:rsidRDefault="00800385" w:rsidP="00EC3137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A1B97">
        <w:rPr>
          <w:sz w:val="28"/>
          <w:szCs w:val="28"/>
        </w:rPr>
        <w:t>To protect the confidentiality of both clinical decision</w:t>
      </w:r>
      <w:r w:rsidR="00EC3137">
        <w:rPr>
          <w:sz w:val="28"/>
          <w:szCs w:val="28"/>
        </w:rPr>
        <w:t xml:space="preserve"> </w:t>
      </w:r>
      <w:r w:rsidRPr="00EC3137">
        <w:rPr>
          <w:sz w:val="28"/>
          <w:szCs w:val="28"/>
        </w:rPr>
        <w:t>models and biomedical data, several privacy-preserving decision</w:t>
      </w:r>
      <w:r w:rsidR="00EC3137">
        <w:rPr>
          <w:sz w:val="28"/>
          <w:szCs w:val="28"/>
        </w:rPr>
        <w:t xml:space="preserve"> </w:t>
      </w:r>
      <w:r w:rsidRPr="00EC3137">
        <w:rPr>
          <w:sz w:val="28"/>
          <w:szCs w:val="28"/>
        </w:rPr>
        <w:t>tree classification schemes.</w:t>
      </w:r>
    </w:p>
    <w:p w:rsidR="00800385" w:rsidRDefault="00800385" w:rsidP="00800385">
      <w:pPr>
        <w:spacing w:line="360" w:lineRule="auto"/>
        <w:ind w:firstLine="360"/>
        <w:jc w:val="both"/>
        <w:rPr>
          <w:sz w:val="28"/>
          <w:szCs w:val="28"/>
        </w:rPr>
      </w:pPr>
    </w:p>
    <w:p w:rsidR="00800385" w:rsidRPr="00EC3137" w:rsidRDefault="003E02C1" w:rsidP="00EC3137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A1B97">
        <w:rPr>
          <w:sz w:val="28"/>
          <w:szCs w:val="28"/>
        </w:rPr>
        <w:t>MPC-based schemes enable multiple parties jointly and</w:t>
      </w:r>
      <w:r w:rsidR="00EC3137">
        <w:rPr>
          <w:sz w:val="28"/>
          <w:szCs w:val="28"/>
        </w:rPr>
        <w:t xml:space="preserve"> </w:t>
      </w:r>
      <w:r w:rsidRPr="00EC3137">
        <w:rPr>
          <w:sz w:val="28"/>
          <w:szCs w:val="28"/>
        </w:rPr>
        <w:t>privately classify data according to decision trees, but they</w:t>
      </w:r>
      <w:r w:rsidR="00EC3137">
        <w:rPr>
          <w:sz w:val="28"/>
          <w:szCs w:val="28"/>
        </w:rPr>
        <w:t xml:space="preserve"> </w:t>
      </w:r>
      <w:r w:rsidRPr="00EC3137">
        <w:rPr>
          <w:sz w:val="28"/>
          <w:szCs w:val="28"/>
        </w:rPr>
        <w:t>may lead to expensive communication c</w:t>
      </w:r>
      <w:r w:rsidR="00192180" w:rsidRPr="00EC3137">
        <w:rPr>
          <w:sz w:val="28"/>
          <w:szCs w:val="28"/>
        </w:rPr>
        <w:t>osts</w:t>
      </w:r>
      <w:r w:rsidRPr="00EC3137">
        <w:rPr>
          <w:sz w:val="28"/>
          <w:szCs w:val="28"/>
        </w:rPr>
        <w:t>.</w:t>
      </w: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9A7182" w:rsidRPr="002F4896" w:rsidRDefault="009A7182" w:rsidP="002F489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F4896">
        <w:rPr>
          <w:sz w:val="28"/>
          <w:szCs w:val="28"/>
        </w:rPr>
        <w:t>_ We propose an efficient and privacy-preserving decision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tree classification scheme (PPDT) for health monitoring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systems. First, we transform decision tree classifiers to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boolean vectors, which are indexes that enable O(1)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computational complexity for decision tree classification.</w:t>
      </w:r>
    </w:p>
    <w:p w:rsidR="009A7182" w:rsidRPr="002F4896" w:rsidRDefault="009A7182" w:rsidP="002F489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F4896">
        <w:rPr>
          <w:sz w:val="28"/>
          <w:szCs w:val="28"/>
        </w:rPr>
        <w:lastRenderedPageBreak/>
        <w:t>With such boolean vectors, PPDT significantly improves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computation, communication, and storage efficiency simultaneously.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By utilizing symmetric key encryption,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pseudo-random functions, and pseudo-random permutations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to protect the confidentiality of clinical decision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models and biomedical data, PPDT significantly reduces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the computational costs due to the adoption of lowcomplexity</w:t>
      </w:r>
    </w:p>
    <w:p w:rsidR="009A7182" w:rsidRPr="002F4896" w:rsidRDefault="009A7182" w:rsidP="002F489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F4896">
        <w:rPr>
          <w:sz w:val="28"/>
          <w:szCs w:val="28"/>
        </w:rPr>
        <w:t>cryptographic primitives.</w:t>
      </w:r>
    </w:p>
    <w:p w:rsidR="009A7182" w:rsidRPr="002F4896" w:rsidRDefault="009A7182" w:rsidP="002F489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F4896">
        <w:rPr>
          <w:sz w:val="28"/>
          <w:szCs w:val="28"/>
        </w:rPr>
        <w:t>_ We formulate a security definition and give a simulationbased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security proof for PPDT. First, we identify a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leakage function L, which includes the size pattern,</w:t>
      </w:r>
    </w:p>
    <w:p w:rsidR="009A7182" w:rsidRPr="002F4896" w:rsidRDefault="009A7182" w:rsidP="002F489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F4896">
        <w:rPr>
          <w:sz w:val="28"/>
          <w:szCs w:val="28"/>
        </w:rPr>
        <w:t>search pattern, and access pattern of PPDT. Then, we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formulate the L-security definition, which is defined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based on the leakage function L. Finally, we provide</w:t>
      </w:r>
    </w:p>
    <w:p w:rsidR="003F21EA" w:rsidRDefault="009A7182" w:rsidP="002F489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F4896">
        <w:rPr>
          <w:sz w:val="28"/>
          <w:szCs w:val="28"/>
        </w:rPr>
        <w:t>a simulation-based security proof to demonstrate that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PPDT captures the L-security definition. Namely, both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the clinical decision model and biomedical data are well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protected.</w:t>
      </w:r>
      <w:r w:rsidR="00A85B59" w:rsidRPr="002F4896">
        <w:rPr>
          <w:sz w:val="28"/>
          <w:szCs w:val="28"/>
        </w:rPr>
        <w:t xml:space="preserve"> </w:t>
      </w:r>
    </w:p>
    <w:p w:rsidR="003F21EA" w:rsidRDefault="003F21EA" w:rsidP="002F489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A7182" w:rsidRPr="003F21EA" w:rsidRDefault="00A85B59" w:rsidP="003F21E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F4896">
        <w:rPr>
          <w:sz w:val="28"/>
          <w:szCs w:val="28"/>
        </w:rPr>
        <w:t>_ We conduct performance analyses and evaluations for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PPDT. We analyze the computational costs and index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sizes of PPDT and the scheme in [20] (SDTC). Despite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both PPDT and SDTC are with O(1) computational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complexity, the comparison results show that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PPDT requires lower computational costs and smaller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index sizes than SDTC. The experimental evaluations in</w:t>
      </w:r>
      <w:r w:rsidR="003F21EA">
        <w:rPr>
          <w:sz w:val="28"/>
          <w:szCs w:val="28"/>
        </w:rPr>
        <w:t xml:space="preserve">  </w:t>
      </w:r>
      <w:r w:rsidRPr="002F4896">
        <w:rPr>
          <w:sz w:val="28"/>
          <w:szCs w:val="28"/>
        </w:rPr>
        <w:t>Breast-Cancer-Wisconsin dataset also illustrate the performance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advantages of PPDT. The performance evaluations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demonstrate that: (1) the computational complexity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of PPDT is O(1), (2) PPDT only requires micro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seconds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level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execution time, kilobyte-level communication costs,</w:t>
      </w:r>
      <w:r w:rsidR="003F21EA">
        <w:rPr>
          <w:sz w:val="28"/>
          <w:szCs w:val="28"/>
        </w:rPr>
        <w:t xml:space="preserve"> </w:t>
      </w:r>
      <w:r w:rsidRPr="002F4896">
        <w:rPr>
          <w:sz w:val="28"/>
          <w:szCs w:val="28"/>
        </w:rPr>
        <w:t>and kilobyte-level storage costs for achieving privacy</w:t>
      </w:r>
      <w:r w:rsidR="0034073C" w:rsidRPr="002F4896">
        <w:rPr>
          <w:sz w:val="28"/>
          <w:szCs w:val="28"/>
        </w:rPr>
        <w:t xml:space="preserve"> </w:t>
      </w:r>
      <w:r w:rsidR="00E26B24" w:rsidRPr="002F4896">
        <w:rPr>
          <w:sz w:val="28"/>
          <w:szCs w:val="28"/>
        </w:rPr>
        <w:t>privacy</w:t>
      </w:r>
      <w:r w:rsidR="003F21EA">
        <w:rPr>
          <w:sz w:val="28"/>
          <w:szCs w:val="28"/>
        </w:rPr>
        <w:t xml:space="preserve"> </w:t>
      </w:r>
      <w:r w:rsidR="00E26B24" w:rsidRPr="002F4896">
        <w:rPr>
          <w:sz w:val="28"/>
          <w:szCs w:val="28"/>
        </w:rPr>
        <w:t>preserving</w:t>
      </w:r>
      <w:r w:rsidR="003F21EA">
        <w:rPr>
          <w:sz w:val="28"/>
          <w:szCs w:val="28"/>
        </w:rPr>
        <w:t xml:space="preserve"> </w:t>
      </w:r>
      <w:r w:rsidR="00E26B24" w:rsidRPr="002F4896">
        <w:rPr>
          <w:sz w:val="28"/>
          <w:szCs w:val="28"/>
        </w:rPr>
        <w:t>decision tree classification, and (3) The performance</w:t>
      </w:r>
      <w:r w:rsidR="003F21EA">
        <w:rPr>
          <w:sz w:val="28"/>
          <w:szCs w:val="28"/>
        </w:rPr>
        <w:t xml:space="preserve"> </w:t>
      </w:r>
      <w:r w:rsidR="00E26B24" w:rsidRPr="002F4896">
        <w:rPr>
          <w:sz w:val="28"/>
          <w:szCs w:val="28"/>
        </w:rPr>
        <w:t>(including computation, communication, and</w:t>
      </w:r>
      <w:r w:rsidR="003F21EA">
        <w:rPr>
          <w:sz w:val="28"/>
          <w:szCs w:val="28"/>
        </w:rPr>
        <w:t xml:space="preserve"> </w:t>
      </w:r>
      <w:r w:rsidR="00E26B24" w:rsidRPr="002F4896">
        <w:rPr>
          <w:sz w:val="28"/>
          <w:szCs w:val="28"/>
        </w:rPr>
        <w:t>storage efficiency) of PPDT is orders of magnitudes</w:t>
      </w:r>
      <w:r w:rsidR="003F21EA">
        <w:rPr>
          <w:sz w:val="28"/>
          <w:szCs w:val="28"/>
        </w:rPr>
        <w:t xml:space="preserve">  </w:t>
      </w:r>
      <w:r w:rsidR="00E26B24" w:rsidRPr="003F21EA">
        <w:rPr>
          <w:sz w:val="28"/>
          <w:szCs w:val="28"/>
        </w:rPr>
        <w:t>boosted than SDTC.</w:t>
      </w:r>
    </w:p>
    <w:p w:rsidR="009A7182" w:rsidRDefault="009A7182" w:rsidP="009A718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</w:p>
    <w:p w:rsidR="001F6BF5" w:rsidRDefault="001F6BF5" w:rsidP="009A718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</w:p>
    <w:p w:rsidR="001F6BF5" w:rsidRDefault="001F6BF5" w:rsidP="009A718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</w:p>
    <w:p w:rsidR="001F6BF5" w:rsidRDefault="001F6BF5" w:rsidP="009A718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</w:p>
    <w:p w:rsidR="00C404F1" w:rsidRPr="00137F7A" w:rsidRDefault="004D2551" w:rsidP="009A7182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lastRenderedPageBreak/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345D01" w:rsidRPr="001F6BF5" w:rsidRDefault="00345D01" w:rsidP="001F6B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F6BF5">
        <w:rPr>
          <w:sz w:val="28"/>
          <w:szCs w:val="28"/>
        </w:rPr>
        <w:t>1) Data confidentiality. Since biomedical features and</w:t>
      </w:r>
      <w:r w:rsidR="00ED6A18">
        <w:rPr>
          <w:sz w:val="28"/>
          <w:szCs w:val="28"/>
        </w:rPr>
        <w:t xml:space="preserve"> </w:t>
      </w:r>
      <w:r w:rsidRPr="001F6BF5">
        <w:rPr>
          <w:sz w:val="28"/>
          <w:szCs w:val="28"/>
        </w:rPr>
        <w:t>clinical decisions are sensitive data for C, the confidentiality</w:t>
      </w:r>
      <w:r w:rsidR="00ED6A18">
        <w:rPr>
          <w:sz w:val="28"/>
          <w:szCs w:val="28"/>
        </w:rPr>
        <w:t xml:space="preserve"> </w:t>
      </w:r>
      <w:r w:rsidRPr="001F6BF5">
        <w:rPr>
          <w:sz w:val="28"/>
          <w:szCs w:val="28"/>
        </w:rPr>
        <w:t>of biomedical data should keep secret against</w:t>
      </w:r>
      <w:r w:rsidR="00ED6A18">
        <w:rPr>
          <w:sz w:val="28"/>
          <w:szCs w:val="28"/>
        </w:rPr>
        <w:t xml:space="preserve"> </w:t>
      </w:r>
      <w:r w:rsidRPr="001F6BF5">
        <w:rPr>
          <w:sz w:val="28"/>
          <w:szCs w:val="28"/>
        </w:rPr>
        <w:t>CSP.</w:t>
      </w:r>
    </w:p>
    <w:p w:rsidR="00A052A3" w:rsidRPr="001F6BF5" w:rsidRDefault="00345D01" w:rsidP="00ED6A1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F6BF5">
        <w:rPr>
          <w:sz w:val="28"/>
          <w:szCs w:val="28"/>
        </w:rPr>
        <w:t>2) Model confidentiality. Due to intellectual property protection</w:t>
      </w:r>
      <w:r w:rsidR="00ED6A18">
        <w:rPr>
          <w:sz w:val="28"/>
          <w:szCs w:val="28"/>
        </w:rPr>
        <w:t xml:space="preserve"> </w:t>
      </w:r>
      <w:r w:rsidRPr="001F6BF5">
        <w:rPr>
          <w:sz w:val="28"/>
          <w:szCs w:val="28"/>
        </w:rPr>
        <w:t>issues, the clinical decision model is valuable</w:t>
      </w:r>
      <w:r w:rsidR="00ED6A18">
        <w:rPr>
          <w:sz w:val="28"/>
          <w:szCs w:val="28"/>
        </w:rPr>
        <w:t xml:space="preserve"> </w:t>
      </w:r>
      <w:r w:rsidRPr="001F6BF5">
        <w:rPr>
          <w:sz w:val="28"/>
          <w:szCs w:val="28"/>
        </w:rPr>
        <w:t>knowledge assets for H. Thus, the confidentiality of</w:t>
      </w:r>
      <w:r w:rsidR="00ED6A18">
        <w:rPr>
          <w:sz w:val="28"/>
          <w:szCs w:val="28"/>
        </w:rPr>
        <w:t xml:space="preserve"> </w:t>
      </w:r>
      <w:r w:rsidRPr="001F6BF5">
        <w:rPr>
          <w:sz w:val="28"/>
          <w:szCs w:val="28"/>
        </w:rPr>
        <w:t>clinical decision model should be protected against</w:t>
      </w:r>
      <w:r w:rsidR="00ED6A18">
        <w:rPr>
          <w:sz w:val="28"/>
          <w:szCs w:val="28"/>
        </w:rPr>
        <w:t xml:space="preserve"> </w:t>
      </w:r>
      <w:r w:rsidRPr="001F6BF5">
        <w:rPr>
          <w:sz w:val="28"/>
          <w:szCs w:val="28"/>
        </w:rPr>
        <w:t>CSP.</w:t>
      </w:r>
    </w:p>
    <w:p w:rsidR="00967343" w:rsidRDefault="00967343" w:rsidP="00345D01">
      <w:pPr>
        <w:spacing w:line="200" w:lineRule="exact"/>
        <w:rPr>
          <w:rFonts w:ascii="NimbusRomNo9L-Regu" w:hAnsi="NimbusRomNo9L-Regu" w:cs="NimbusRomNo9L-Regu"/>
        </w:rPr>
      </w:pPr>
    </w:p>
    <w:p w:rsidR="00967343" w:rsidRDefault="00967343" w:rsidP="00345D01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2FF" w:rsidRDefault="005032FF" w:rsidP="00E96CFC">
      <w:r>
        <w:separator/>
      </w:r>
    </w:p>
  </w:endnote>
  <w:endnote w:type="continuationSeparator" w:id="1">
    <w:p w:rsidR="005032FF" w:rsidRDefault="005032FF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2FF" w:rsidRDefault="005032FF" w:rsidP="00E96CFC">
      <w:r>
        <w:separator/>
      </w:r>
    </w:p>
  </w:footnote>
  <w:footnote w:type="continuationSeparator" w:id="1">
    <w:p w:rsidR="005032FF" w:rsidRDefault="005032FF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CFD"/>
    <w:multiLevelType w:val="hybridMultilevel"/>
    <w:tmpl w:val="FF806C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0193"/>
    <w:rsid w:val="00040461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1576"/>
    <w:rsid w:val="000A3E50"/>
    <w:rsid w:val="000A779C"/>
    <w:rsid w:val="000B07FB"/>
    <w:rsid w:val="000B0DE9"/>
    <w:rsid w:val="000B0F09"/>
    <w:rsid w:val="000B2551"/>
    <w:rsid w:val="000B331B"/>
    <w:rsid w:val="000B5B2A"/>
    <w:rsid w:val="000B657C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777E"/>
    <w:rsid w:val="00101E70"/>
    <w:rsid w:val="00104C0A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02F"/>
    <w:rsid w:val="0013617C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6E6"/>
    <w:rsid w:val="00164E0C"/>
    <w:rsid w:val="0016527A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2180"/>
    <w:rsid w:val="00193A82"/>
    <w:rsid w:val="001951BF"/>
    <w:rsid w:val="00195E83"/>
    <w:rsid w:val="00196F7E"/>
    <w:rsid w:val="0019755F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5AD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1975"/>
    <w:rsid w:val="001E19AF"/>
    <w:rsid w:val="001E1D65"/>
    <w:rsid w:val="001E57A6"/>
    <w:rsid w:val="001F1904"/>
    <w:rsid w:val="001F29EB"/>
    <w:rsid w:val="001F318D"/>
    <w:rsid w:val="001F4F04"/>
    <w:rsid w:val="001F5A08"/>
    <w:rsid w:val="001F6BF5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37D6E"/>
    <w:rsid w:val="00240045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5E04"/>
    <w:rsid w:val="00276206"/>
    <w:rsid w:val="0027621A"/>
    <w:rsid w:val="00276C46"/>
    <w:rsid w:val="00277C62"/>
    <w:rsid w:val="00280C7B"/>
    <w:rsid w:val="002849AC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A6F54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39A1"/>
    <w:rsid w:val="002D49E7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4896"/>
    <w:rsid w:val="002F79E3"/>
    <w:rsid w:val="00300089"/>
    <w:rsid w:val="00302FA0"/>
    <w:rsid w:val="003032BD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554C"/>
    <w:rsid w:val="003259EC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073C"/>
    <w:rsid w:val="003413D0"/>
    <w:rsid w:val="003428B7"/>
    <w:rsid w:val="00342F4F"/>
    <w:rsid w:val="003443BD"/>
    <w:rsid w:val="003447F7"/>
    <w:rsid w:val="00344E3F"/>
    <w:rsid w:val="00345D01"/>
    <w:rsid w:val="00346FB3"/>
    <w:rsid w:val="0034705F"/>
    <w:rsid w:val="003509A7"/>
    <w:rsid w:val="00350EF5"/>
    <w:rsid w:val="00351F96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02C1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21EA"/>
    <w:rsid w:val="003F37E0"/>
    <w:rsid w:val="003F4DCF"/>
    <w:rsid w:val="00401B03"/>
    <w:rsid w:val="00401F82"/>
    <w:rsid w:val="0040270E"/>
    <w:rsid w:val="004049FB"/>
    <w:rsid w:val="00411927"/>
    <w:rsid w:val="0041289D"/>
    <w:rsid w:val="00413870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9FD"/>
    <w:rsid w:val="00496BC4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500B41"/>
    <w:rsid w:val="005014D7"/>
    <w:rsid w:val="005032FF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1B97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3E53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5F1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511CA"/>
    <w:rsid w:val="007517FA"/>
    <w:rsid w:val="007525D5"/>
    <w:rsid w:val="00752C1E"/>
    <w:rsid w:val="0075318D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4983"/>
    <w:rsid w:val="00795E8F"/>
    <w:rsid w:val="00797501"/>
    <w:rsid w:val="007A1ACA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35AE"/>
    <w:rsid w:val="007B468E"/>
    <w:rsid w:val="007C2F12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0385"/>
    <w:rsid w:val="008037C2"/>
    <w:rsid w:val="008039C5"/>
    <w:rsid w:val="00805810"/>
    <w:rsid w:val="00805880"/>
    <w:rsid w:val="00806922"/>
    <w:rsid w:val="00813269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4398"/>
    <w:rsid w:val="00855EEA"/>
    <w:rsid w:val="00856984"/>
    <w:rsid w:val="00856E78"/>
    <w:rsid w:val="008614F8"/>
    <w:rsid w:val="00862597"/>
    <w:rsid w:val="00863821"/>
    <w:rsid w:val="00864425"/>
    <w:rsid w:val="00864CA2"/>
    <w:rsid w:val="0086615C"/>
    <w:rsid w:val="00866EAD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937"/>
    <w:rsid w:val="00886D2C"/>
    <w:rsid w:val="00887B1D"/>
    <w:rsid w:val="00892ECB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9007CE"/>
    <w:rsid w:val="00900924"/>
    <w:rsid w:val="00903B76"/>
    <w:rsid w:val="009052C3"/>
    <w:rsid w:val="00905420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17BB8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343"/>
    <w:rsid w:val="0096787F"/>
    <w:rsid w:val="009710F3"/>
    <w:rsid w:val="009712BF"/>
    <w:rsid w:val="00971C51"/>
    <w:rsid w:val="00972544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7182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83CF4"/>
    <w:rsid w:val="00A84CB0"/>
    <w:rsid w:val="00A8501D"/>
    <w:rsid w:val="00A85B59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782C"/>
    <w:rsid w:val="00B41D9E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16CA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B757C"/>
    <w:rsid w:val="00BC0F30"/>
    <w:rsid w:val="00BC2610"/>
    <w:rsid w:val="00BC724D"/>
    <w:rsid w:val="00BD020E"/>
    <w:rsid w:val="00BD040B"/>
    <w:rsid w:val="00BD096F"/>
    <w:rsid w:val="00BD0B69"/>
    <w:rsid w:val="00BD20E8"/>
    <w:rsid w:val="00BD29DB"/>
    <w:rsid w:val="00BD315E"/>
    <w:rsid w:val="00BD3E39"/>
    <w:rsid w:val="00BD53F6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9F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4CB0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AAC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5CF4"/>
    <w:rsid w:val="00CA675D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2E77"/>
    <w:rsid w:val="00D15622"/>
    <w:rsid w:val="00D1594F"/>
    <w:rsid w:val="00D15EF1"/>
    <w:rsid w:val="00D161C2"/>
    <w:rsid w:val="00D16B4E"/>
    <w:rsid w:val="00D17D96"/>
    <w:rsid w:val="00D20171"/>
    <w:rsid w:val="00D216AC"/>
    <w:rsid w:val="00D2202C"/>
    <w:rsid w:val="00D238D7"/>
    <w:rsid w:val="00D2487A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4EF2"/>
    <w:rsid w:val="00D5648C"/>
    <w:rsid w:val="00D60CB9"/>
    <w:rsid w:val="00D62F54"/>
    <w:rsid w:val="00D6397C"/>
    <w:rsid w:val="00D657EE"/>
    <w:rsid w:val="00D664E4"/>
    <w:rsid w:val="00D676C1"/>
    <w:rsid w:val="00D73004"/>
    <w:rsid w:val="00D73068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3ADB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6B24"/>
    <w:rsid w:val="00E26E03"/>
    <w:rsid w:val="00E27AF1"/>
    <w:rsid w:val="00E31BC9"/>
    <w:rsid w:val="00E32899"/>
    <w:rsid w:val="00E33C6D"/>
    <w:rsid w:val="00E3466E"/>
    <w:rsid w:val="00E34BDD"/>
    <w:rsid w:val="00E3586F"/>
    <w:rsid w:val="00E36D61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391"/>
    <w:rsid w:val="00E65EFD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0FD0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3137"/>
    <w:rsid w:val="00EC5137"/>
    <w:rsid w:val="00ED048C"/>
    <w:rsid w:val="00ED18B7"/>
    <w:rsid w:val="00ED22D5"/>
    <w:rsid w:val="00ED56A4"/>
    <w:rsid w:val="00ED61F5"/>
    <w:rsid w:val="00ED6A18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319B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6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2310</cp:revision>
  <dcterms:created xsi:type="dcterms:W3CDTF">2017-11-15T06:59:00Z</dcterms:created>
  <dcterms:modified xsi:type="dcterms:W3CDTF">2022-03-04T04:39:00Z</dcterms:modified>
</cp:coreProperties>
</file>