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legend: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DogCD GWAS achieve power comparable to human OCD GWAS despite far smaller sample sizes.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to detect a locus explaining a given percentage of phenotypic variance, for dogCD (red; N = 2,322; P ≤ 4x10</w:t>
      </w:r>
      <w:r w:rsidDel="00000000" w:rsidR="00000000" w:rsidRPr="00000000">
        <w:rPr>
          <w:vertAlign w:val="superscript"/>
          <w:rtl w:val="0"/>
        </w:rPr>
        <w:t xml:space="preserve">-7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and human OCD (grey; effective N = 209,150; P ≤ 5x10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). Points indicate genome-wide significant loci.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Statistical power comparison between dogCD and human OCD GWAS.</w:t>
      </w:r>
      <w:r w:rsidDel="00000000" w:rsidR="00000000" w:rsidRPr="00000000">
        <w:rPr>
          <w:rtl w:val="0"/>
        </w:rPr>
        <w:t xml:space="preserve"> To place the dogCD and human OCD discoveries on a common power scale, we first converted the human case-control design (53,660 cases, 2,044,417 controls) into an effective sample size to account for the unbalanced case:control ratio: N</w:t>
      </w:r>
      <w:r w:rsidDel="00000000" w:rsidR="00000000" w:rsidRPr="00000000">
        <w:rPr>
          <w:vertAlign w:val="subscript"/>
          <w:rtl w:val="0"/>
        </w:rPr>
        <w:t xml:space="preserve">eff</w:t>
      </w:r>
      <w:r w:rsidDel="00000000" w:rsidR="00000000" w:rsidRPr="00000000">
        <w:rPr>
          <w:rtl w:val="0"/>
        </w:rPr>
        <w:t xml:space="preserve"> = 4 / (1/N</w:t>
      </w:r>
      <w:r w:rsidDel="00000000" w:rsidR="00000000" w:rsidRPr="00000000">
        <w:rPr>
          <w:vertAlign w:val="subscript"/>
          <w:rtl w:val="0"/>
        </w:rPr>
        <w:t xml:space="preserve">cases</w:t>
      </w:r>
      <w:r w:rsidDel="00000000" w:rsidR="00000000" w:rsidRPr="00000000">
        <w:rPr>
          <w:rtl w:val="0"/>
        </w:rPr>
        <w:t xml:space="preserve"> + 1/N</w:t>
      </w:r>
      <w:r w:rsidDel="00000000" w:rsidR="00000000" w:rsidRPr="00000000">
        <w:rPr>
          <w:vertAlign w:val="subscript"/>
          <w:rtl w:val="0"/>
        </w:rPr>
        <w:t xml:space="preserve">controls</w:t>
      </w:r>
      <w:r w:rsidDel="00000000" w:rsidR="00000000" w:rsidRPr="00000000">
        <w:rPr>
          <w:rtl w:val="0"/>
        </w:rPr>
        <w:t xml:space="preserve">). For each locus, we estimated the phenotypic variance explained (R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from its reported p-value as 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χ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/(χ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N), where χ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qchisq(1−p, df = 1); this test-statistic-based estimate does not assume a particular effect-size scale, so it applies equally to dogCD's continuous and ordinal traits and to human OCD's case-control design, using N</w:t>
      </w:r>
      <w:r w:rsidDel="00000000" w:rsidR="00000000" w:rsidRPr="00000000">
        <w:rPr>
          <w:vertAlign w:val="subscript"/>
          <w:rtl w:val="0"/>
        </w:rPr>
        <w:t xml:space="preserve">eff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place of N for the latter. Power to reach each study's discovery threshold (P ≤ 4×10⁻⁷ for dogCD; P ≤ 5×10⁻⁸ for human OCD) was then computed from the non-central chi-squared distribution (1 d.f.) as a function of sample size and 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using each dogCD trait's own sample size for its lead loci and the minimum trait sample size (N = 2,322) for the representative power curve shown in the figure. All analyses were performed in R using the tidyverse package.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