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7"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DevStudio7</w:t>
        <w:br/>
        <w:t>Publisher: GamePublisher7</w:t>
        <w:br/>
      </w:r>
    </w:p>
    <w:p>
      <w:pPr>
        <w:pStyle w:val="Heading2"/>
      </w:pPr>
      <w:r>
        <w:t>Game Details</w:t>
      </w:r>
    </w:p>
    <w:p>
      <w:r>
        <w:t>Game Name: Mobile Quest 7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