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2021/12/5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编写了代码规范，完成了单元测试和项目成果ppt，测试工具已经制作了多个测试用例(黄依豪)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制作了前端的代码清单，测试计划正在完善（梁晓勇）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完成了第八章的翻转课堂ppt（李东泽）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制作的界面少。（黄依豪）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服务器需要购买并重新配置。（李东泽）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用户手册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代码清单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集成系统测试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修订后的详细设计文件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  <w:r>
              <w:rPr>
                <w:rFonts w:hint="eastAsia"/>
                <w:vertAlign w:val="baseline"/>
                <w:lang w:val="en-US" w:eastAsia="zh-CN"/>
              </w:rPr>
              <w:t>，设计集成系统测试，制作系统测试（黄依豪）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完善代码清单，完善测试计划（梁晓勇）。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完善用户手册，完善测试计划（李东泽）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设计集成系统测试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演示集成系统测试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演示系统测试工具测试系统的功能是否全面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完善用户手册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查看用户手册是否合理全面的覆盖系统的使用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完善测试计划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查看测试计划的整合完善情况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完善代码清单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1"/>
                <w:szCs w:val="21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加入后端的代码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完善测试计划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查看测试计划的内容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6439684C"/>
    <w:rsid w:val="6848009E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2014</Words>
  <Characters>2123</Characters>
  <Lines>0</Lines>
  <Paragraphs>0</Paragraphs>
  <TotalTime>1</TotalTime>
  <ScaleCrop>false</ScaleCrop>
  <LinksUpToDate>false</LinksUpToDate>
  <CharactersWithSpaces>2565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2021-12-06T06:43:27Z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E46A511292F541148DC66383906B0C2D</vt:lpwstr>
  </property>
</Properties>
</file>