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需求分析</w:t>
            </w: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  <w:r>
              <w:rPr>
                <w:rFonts w:hint="eastAsia"/>
                <w:vertAlign w:val="baseline"/>
                <w:lang w:eastAsia="zh-CN"/>
              </w:rPr>
              <w:t>总结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求真一-330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①总结需求分析的任务实现情况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1、完成了对当然用户杨枨的访谈。明确了一些需求，如设置登陆弹窗界面，获取个人信息。设置精华贴和顶置贴，精华贴已完成。首页热回需要有@对象要求。（黄依豪）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2、需求分析报告已完善。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3、ER图、界面图、程序设计图和数据流图完善完成。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已分配的任务完成确定：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黄依豪对需求分析报告完善完成。李东泽对ER图、界面图、程序设计图和数据流图完善完成。部分完成了界面原型的新需求。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2C4D7187"/>
    <w:rsid w:val="303529E4"/>
    <w:rsid w:val="34381F89"/>
    <w:rsid w:val="34EC49B7"/>
    <w:rsid w:val="38D05CE4"/>
    <w:rsid w:val="3C407B38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2021-10-31T05:10:33Z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