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第十周第二次会议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21/11/21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18：02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求真一</w:t>
            </w:r>
            <w:r>
              <w:rPr>
                <w:rFonts w:hint="eastAsia"/>
                <w:vertAlign w:val="baseline"/>
                <w:lang w:val="en-US" w:eastAsia="zh-CN"/>
              </w:rPr>
              <w:t>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①确认分配任务完成情况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②讨论本周的问题</w:t>
            </w:r>
          </w:p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③确定要修缮的任务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首先确定任务分配的完成情况。PDL全部都经过了修改，所有人表现合格。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然后是jackson图的补充确定良好。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项目计划表的代码设计编写测试进度也已经添加。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墨刀的界面原型设计优秀。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代码框架制作了框架。 （评价详见上次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"11.17例会记录.docx"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vertAlign w:val="baseline"/>
                <w:lang w:val="en-US" w:eastAsia="zh-CN"/>
              </w:rPr>
              <w:t>会议纪要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就本周的遇到的问题而言，界面原型设计可以做出改变，删除不必要功能和美化界面。（李东泽）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经讨论确定新任务如下：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黄依豪制作翻转ppt模板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李东泽继续完成界面原型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梁晓勇继续完成框架设计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上周的任务评价确定：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上次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"11.17例会记录.docx"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vertAlign w:val="baseline"/>
                <w:lang w:val="en-US" w:eastAsia="zh-CN"/>
              </w:rPr>
              <w:t>会议纪要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新分配的任务的确定：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黄依豪制作翻转ppt模板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李东泽继续完成界面原型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梁晓勇继续完成框架设计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制作翻转ppt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21/11/23 23：30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查看模板是否合理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制作墨刀的更详细界面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21/11/23  23：30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展示界面成果是否有小页面内容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 xml:space="preserve">沟通   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代码框架的设计继续添加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21/11/23 23：30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与界面原型的内容相差程度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87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等级情况：5-&gt;优， 4-&gt;良， 3-&gt;及格， 2-&gt;不及格， 1-&gt;未完成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0B30371F"/>
    <w:rsid w:val="1A8B2DF7"/>
    <w:rsid w:val="1A914FA2"/>
    <w:rsid w:val="2ADD7DEE"/>
    <w:rsid w:val="303529E4"/>
    <w:rsid w:val="341D3730"/>
    <w:rsid w:val="34381F89"/>
    <w:rsid w:val="38D05CE4"/>
    <w:rsid w:val="3C407B38"/>
    <w:rsid w:val="53D0440E"/>
    <w:rsid w:val="5BA34E30"/>
    <w:rsid w:val="62571D49"/>
    <w:rsid w:val="6848009E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Hyi</cp:lastModifiedBy>
  <dcterms:modified xsi:type="dcterms:W3CDTF">2021-11-23T12:42:54Z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0DEF2CCD77BB473F8B8E40951E5D0011</vt:lpwstr>
  </property>
</Properties>
</file>