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Predictive Delinquency Risk Model – Business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Prepared for: Head of Collections, Geldium  |  Data source: 500-customer account dataset (Task 1 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e7e6e6" w:val="clear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6"/>
          <w:szCs w:val="26"/>
          <w:rtl w:val="0"/>
        </w:rPr>
        <w:t xml:space="preserve">1. Summary of Predictive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Across the 500-account dataset, delinquency (10–12% of accounts) is driven far more by behavior than by demographics or income. Three variables stand 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Missed payments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– the strongest single predictor (correlation +0.48). Customers with 3 or more missed payments in the last 6 months are the clearest early-warning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Credit utilization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– the second strongest driver (correlation +0.33). Risk rises sharply once utilization passes 70% of available credit.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Credit score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– a meaningful negative predictor (correlation –0.30); scores below ~450, or a drop of 50+ points, warrant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Debt-to-income ratio and account tenure add secondary signal, while income has only a weak, indirect relationship with delinquency once behavior is accounted for – income should not be used as a stand-alone screen.</w:t>
      </w: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90"/>
        <w:gridCol w:w="2205"/>
        <w:gridCol w:w="1935"/>
        <w:gridCol w:w="2505"/>
        <w:tblGridChange w:id="0">
          <w:tblGrid>
            <w:gridCol w:w="3690"/>
            <w:gridCol w:w="2205"/>
            <w:gridCol w:w="193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Key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Customer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Influencing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Potential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Repeated missed payments most reliably predict delinquency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Accounts with ≥3 missed payments in 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Missed_Payments, Month_1–Month_6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Early outreach before the account becomes delinquent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 utilization signals customers living beyond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Accounts with utilization &gt;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Credit_Utilization, Loan_Balance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Proactive credit-limit or hardship 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Low / falling credit score signals weakening creditworthiness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Score &lt; 450 or a 50+ point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Credit_Score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Trigger manual account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Top 3 Risk Factors: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(1) missed payments, (2) high credit utilization, (3) low/declining credit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hd w:fill="e7e6e6" w:val="clear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6"/>
          <w:szCs w:val="26"/>
          <w:rtl w:val="0"/>
        </w:rPr>
        <w:t xml:space="preserve">2. Recommendation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Restated Insight: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Customers with 3+ missed payments in the last 6 months and credit utilization above 70% are the clearest early-warning combination for delinquency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Proposed Recommendation: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Launch a proactive outreach and support program for customers the model flags as High Risk, offering payment reminders and a fast path to a short-term hardship or debt-management plan – before the account becomes delinquent.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Automated SMS/email reminders plus a live-agent offer of a short-term hardship plan, targeted at customers flagged High Risk (Missed_Payments ≥3 OR Utilization &gt;70% OR Credit_Score &lt;450).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Measurable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Track 30/60/90-day delinquency rate and hardship-plan enrollment for the pilot group versus a matched control group; target a 10–15% relative reduction in new delinquencies among flagged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Actionable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Uses fields already in the data (Missed_Payments, Credit_Utilization, Credit_Score) and existing Collections contact channels – only threshold rules from the model need to be applied to the outreach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Relevant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Targets the three strongest, model-validated predictors of delinquency and directly supports Collections’ goal of reducing delinquency while preserving the customer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Time-bound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6-week pilot, with a go/no-go review at week 6 for portfolio-wide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Justification and Business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action is scalable (rules-based flagging extends to the full portfolio once validated), easy to implement (uses existing Collections workflows), fair (reviewed via the fairness audit across Location, Employment_Status, Age and Card_Type so outreach isn’t skewed toward any one group), and cost-effective (early, supportive outreach is materially cheaper than post-delinquency collections). It is directly grounded in the data: missed payments and utilization are the two strongest correlated predictors of delinquency identified in the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hd w:fill="e7e6e6" w:val="clear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6"/>
          <w:szCs w:val="26"/>
          <w:rtl w:val="0"/>
        </w:rPr>
        <w:t xml:space="preserve">3. Ethical and Responsible AI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Fairness risks and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Missing-data bias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Income (7.8% missing) and Loan_Balance (5.8% missing) could be imputed inaccurately for specific segments (e.g., self-employed customers). Mitigation: use group-based/KNN imputation and check whether missingness itself correlates with a segment before trusting imputed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Proxy-variable bias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Location (5 cities) or Credit_Card_Type could stand in for income or socioeconomic status. Mitigation: run the model’s Fairness Audit step to compare error rates across these groups, and use SHAP to confirm predictions rely on behavior (missed payments, utilization) rather than these proxies.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Explainability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champion model is paired with SHAP so the Collections team can see which factors (e.g., missed payments, utilization) drove any individual customer’s risk score, in plain language – supporting clear, defensible conversations with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Responsible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recommended action is supportive (outreach and hardship options) rather than punitive (e.g., automatic credit-limit cuts), and Moderate/High-risk cases are routed to human review rather than triggering automated account actions. Customer financial data is protected throughout, and the model should be re-audited periodically as customer behavior and economic conditions change.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◦"/>
      <w:lvlJc w:val="left"/>
      <w:pPr>
        <w:ind w:left="7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