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9B6360">
      <w:pPr>
        <w:pStyle w:val="6"/>
        <w:keepNext w:val="0"/>
        <w:keepLines w:val="0"/>
        <w:widowControl/>
        <w:suppressLineNumbers w:val="0"/>
        <w:bidi w:val="0"/>
        <w:spacing w:before="480" w:beforeAutospacing="0" w:after="100" w:afterAutospacing="0" w:line="360" w:lineRule="auto"/>
        <w:jc w:val="center"/>
        <w:rPr>
          <w:rFonts w:hint="default" w:ascii="Times New Roman" w:hAnsi="Times New Roman" w:cs="Times New Roman"/>
          <w:b/>
          <w:bCs/>
          <w:i w:val="0"/>
          <w:iCs w:val="0"/>
          <w:color w:val="1C3F6E"/>
          <w:sz w:val="32"/>
          <w:szCs w:val="32"/>
          <w:u w:val="none"/>
          <w:vertAlign w:val="baseline"/>
        </w:rPr>
      </w:pPr>
      <w:r>
        <w:rPr>
          <w:rFonts w:hint="default" w:ascii="Times New Roman" w:hAnsi="Times New Roman" w:cs="Times New Roman"/>
          <w:b/>
          <w:bCs/>
          <w:i w:val="0"/>
          <w:iCs w:val="0"/>
          <w:color w:val="1C3F6E"/>
          <w:sz w:val="32"/>
          <w:szCs w:val="32"/>
          <w:u w:val="none"/>
          <w:vertAlign w:val="baseline"/>
        </w:rPr>
        <w:t>The Application of Systems Engineering in Project</w:t>
      </w:r>
      <w:r>
        <w:rPr>
          <w:rFonts w:hint="default" w:ascii="Times New Roman" w:hAnsi="Times New Roman" w:cs="Times New Roman"/>
          <w:b/>
          <w:bCs/>
          <w:i w:val="0"/>
          <w:iCs w:val="0"/>
          <w:color w:val="1C3F6E"/>
          <w:sz w:val="32"/>
          <w:szCs w:val="32"/>
          <w:u w:val="none"/>
          <w:vertAlign w:val="baseline"/>
          <w:lang w:val="en-US" w:eastAsia="zh-CN"/>
        </w:rPr>
        <w:t xml:space="preserve"> </w:t>
      </w:r>
      <w:r>
        <w:rPr>
          <w:rFonts w:hint="default" w:ascii="Times New Roman" w:hAnsi="Times New Roman" w:cs="Times New Roman"/>
          <w:b/>
          <w:bCs/>
          <w:i w:val="0"/>
          <w:iCs w:val="0"/>
          <w:color w:val="1C3F6E"/>
          <w:sz w:val="32"/>
          <w:szCs w:val="32"/>
          <w:u w:val="none"/>
          <w:vertAlign w:val="baseline"/>
        </w:rPr>
        <w:t>Management</w:t>
      </w:r>
    </w:p>
    <w:p w14:paraId="2808F131">
      <w:pPr>
        <w:pStyle w:val="6"/>
        <w:keepNext w:val="0"/>
        <w:keepLines w:val="0"/>
        <w:widowControl/>
        <w:suppressLineNumbers w:val="0"/>
        <w:bidi w:val="0"/>
        <w:spacing w:before="0" w:beforeAutospacing="0" w:after="200" w:afterAutospacing="0" w:line="360" w:lineRule="auto"/>
        <w:jc w:val="center"/>
        <w:rPr>
          <w:rFonts w:hint="default" w:ascii="Times New Roman" w:hAnsi="Times New Roman" w:cs="Times New Roman"/>
          <w:b/>
          <w:bCs/>
          <w:i w:val="0"/>
          <w:iCs w:val="0"/>
          <w:color w:val="333333"/>
          <w:sz w:val="28"/>
          <w:szCs w:val="28"/>
          <w:u w:val="none"/>
          <w:vertAlign w:val="baseline"/>
        </w:rPr>
      </w:pPr>
      <w:r>
        <w:rPr>
          <w:rFonts w:hint="default" w:ascii="Times New Roman" w:hAnsi="Times New Roman" w:cs="Times New Roman"/>
          <w:b/>
          <w:bCs/>
          <w:i w:val="0"/>
          <w:iCs w:val="0"/>
          <w:color w:val="333333"/>
          <w:sz w:val="28"/>
          <w:szCs w:val="28"/>
          <w:u w:val="none"/>
          <w:vertAlign w:val="baseline"/>
        </w:rPr>
        <w:t>—</w:t>
      </w:r>
      <w:r>
        <w:rPr>
          <w:rFonts w:hint="eastAsia" w:ascii="Times New Roman" w:hAnsi="Times New Roman" w:cs="Times New Roman"/>
          <w:b/>
          <w:bCs/>
          <w:i w:val="0"/>
          <w:iCs w:val="0"/>
          <w:color w:val="333333"/>
          <w:sz w:val="28"/>
          <w:szCs w:val="28"/>
          <w:u w:val="none"/>
          <w:vertAlign w:val="baseline"/>
          <w:lang w:val="en-US" w:eastAsia="zh-CN"/>
        </w:rPr>
        <w:t xml:space="preserve"> </w:t>
      </w:r>
      <w:r>
        <w:rPr>
          <w:rFonts w:hint="default" w:ascii="Times New Roman" w:hAnsi="Times New Roman" w:cs="Times New Roman"/>
          <w:b/>
          <w:bCs/>
          <w:i w:val="0"/>
          <w:iCs w:val="0"/>
          <w:color w:val="333333"/>
          <w:sz w:val="28"/>
          <w:szCs w:val="28"/>
          <w:u w:val="none"/>
          <w:vertAlign w:val="baseline"/>
        </w:rPr>
        <w:t>A Systems Engineering Analysis of TikTok Shop’s GMV Growth</w:t>
      </w:r>
    </w:p>
    <w:p w14:paraId="08E13243">
      <w:pPr>
        <w:pStyle w:val="6"/>
        <w:keepNext w:val="0"/>
        <w:keepLines w:val="0"/>
        <w:widowControl/>
        <w:suppressLineNumbers w:val="0"/>
        <w:bidi w:val="0"/>
        <w:spacing w:before="0" w:beforeAutospacing="0" w:after="200" w:afterAutospacing="0" w:line="360" w:lineRule="auto"/>
        <w:jc w:val="center"/>
        <w:rPr>
          <w:rFonts w:hint="default" w:ascii="Times New Roman" w:hAnsi="Times New Roman" w:cs="Times New Roman"/>
          <w:b/>
          <w:bCs/>
          <w:i w:val="0"/>
          <w:iCs w:val="0"/>
          <w:color w:val="333333"/>
          <w:sz w:val="28"/>
          <w:szCs w:val="28"/>
          <w:u w:val="none"/>
          <w:vertAlign w:val="baseline"/>
        </w:rPr>
      </w:pPr>
      <w:r>
        <w:rPr>
          <w:rFonts w:hint="default" w:ascii="Times New Roman" w:hAnsi="Times New Roman" w:cs="Times New Roman"/>
          <w:b/>
          <w:bCs/>
          <w:i w:val="0"/>
          <w:iCs w:val="0"/>
          <w:color w:val="333333"/>
          <w:sz w:val="28"/>
          <w:szCs w:val="28"/>
          <w:u w:val="none"/>
          <w:vertAlign w:val="baseline"/>
        </w:rPr>
        <w:t>&amp;</w:t>
      </w:r>
      <w:r>
        <w:rPr>
          <w:rFonts w:hint="default" w:ascii="Times New Roman" w:hAnsi="Times New Roman" w:cs="Times New Roman"/>
          <w:b/>
          <w:bCs/>
          <w:i w:val="0"/>
          <w:iCs w:val="0"/>
          <w:color w:val="333333"/>
          <w:sz w:val="28"/>
          <w:szCs w:val="28"/>
          <w:u w:val="none"/>
          <w:vertAlign w:val="baseline"/>
          <w:lang w:val="en-US" w:eastAsia="zh-CN"/>
        </w:rPr>
        <w:t xml:space="preserve"> </w:t>
      </w:r>
      <w:r>
        <w:rPr>
          <w:rFonts w:hint="default" w:ascii="Times New Roman" w:hAnsi="Times New Roman" w:cs="Times New Roman"/>
          <w:b/>
          <w:bCs/>
          <w:i w:val="0"/>
          <w:iCs w:val="0"/>
          <w:color w:val="333333"/>
          <w:sz w:val="28"/>
          <w:szCs w:val="28"/>
          <w:u w:val="none"/>
          <w:vertAlign w:val="baseline"/>
        </w:rPr>
        <w:t>Operational Systems in the Philippine Market</w:t>
      </w:r>
    </w:p>
    <w:p w14:paraId="75473E0F">
      <w:pPr>
        <w:pStyle w:val="2"/>
        <w:keepNext w:val="0"/>
        <w:keepLines w:val="0"/>
        <w:widowControl/>
        <w:suppressLineNumbers w:val="0"/>
        <w:pBdr>
          <w:top w:val="none" w:color="auto" w:sz="0" w:space="0"/>
          <w:left w:val="none" w:color="auto" w:sz="0" w:space="0"/>
          <w:bottom w:val="single" w:color="2E75B6" w:sz="8" w:space="1"/>
          <w:right w:val="none" w:color="auto" w:sz="0" w:space="0"/>
        </w:pBdr>
        <w:bidi w:val="0"/>
        <w:spacing w:before="320" w:beforeAutospacing="0" w:after="10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1C3F6E"/>
          <w:sz w:val="28"/>
          <w:szCs w:val="28"/>
          <w:u w:val="none"/>
          <w:vertAlign w:val="baseline"/>
        </w:rPr>
        <w:t>1. Introduction</w:t>
      </w:r>
    </w:p>
    <w:p w14:paraId="57DF5193">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b/>
          <w:bCs/>
          <w:i w:val="0"/>
          <w:iCs w:val="0"/>
          <w:color w:val="2E75B6"/>
          <w:sz w:val="24"/>
          <w:szCs w:val="24"/>
          <w:u w:val="none"/>
          <w:vertAlign w:val="baseline"/>
        </w:rPr>
      </w:pPr>
      <w:r>
        <w:rPr>
          <w:rFonts w:hint="default" w:ascii="Times New Roman" w:hAnsi="Times New Roman" w:cs="Times New Roman"/>
          <w:b/>
          <w:bCs/>
          <w:i w:val="0"/>
          <w:iCs w:val="0"/>
          <w:color w:val="2E75B6"/>
          <w:sz w:val="24"/>
          <w:szCs w:val="24"/>
          <w:u w:val="none"/>
          <w:vertAlign w:val="baseline"/>
        </w:rPr>
        <w:t>1.1  Organizational Background</w:t>
      </w:r>
    </w:p>
    <w:p w14:paraId="1F65E12D">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TikTok Shop is an e-commerce platform under ByteDance. The TT platform mainly focusses on content-driven e-commerce and sells goods through short videos and live broadcasts. With the expansion of ByteDance in Southeast Asia, TikTok Shop has established a stable business foundation and consumer market. As the third largest growth market in Southeast Asia, the main consumer group of the Philippines is a large number of young users. They shop online frequently and are extremely price-sensitive, with an average order amount of about $8–12.</w:t>
      </w:r>
    </w:p>
    <w:p w14:paraId="4F0C0EBF">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50CA939B">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I used to be a member of the Philippine market strategy team, which is a large cross-functional team whose members focus on advertising, daily operation of online store product pages, data analysis and advertising placement. All functions share a common goal: to achieve sustainable growth in total goods transactions (GMV).My specific work includes: building a dashboard for the "mall" tab , conducting conversion funnel analysis, formulating advertising strategies and conducting market research.</w:t>
      </w:r>
    </w:p>
    <w:p w14:paraId="4D114E3C">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53C355C6">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2E75B6"/>
          <w:sz w:val="24"/>
          <w:szCs w:val="24"/>
          <w:u w:val="none"/>
          <w:vertAlign w:val="baseline"/>
        </w:rPr>
        <w:t>1.2  Project Description</w:t>
      </w:r>
    </w:p>
    <w:p w14:paraId="1CD82BFD">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This report focuses on the continuous optimisation of TT's sales system in the Philippine market. This is a complex social technology system composed of five</w:t>
      </w:r>
      <w:bookmarkStart w:id="0" w:name="_GoBack"/>
      <w:bookmarkEnd w:id="0"/>
      <w:r>
        <w:rPr>
          <w:rFonts w:hint="default" w:ascii="Times New Roman" w:hAnsi="Times New Roman" w:cs="Times New Roman" w:eastAsiaTheme="minorEastAsia"/>
          <w:i w:val="0"/>
          <w:iCs w:val="0"/>
          <w:color w:val="1F1F1F"/>
          <w:kern w:val="0"/>
          <w:sz w:val="24"/>
          <w:szCs w:val="24"/>
          <w:u w:val="none"/>
          <w:vertAlign w:val="baseline"/>
          <w:lang w:val="en-US" w:eastAsia="zh-CN" w:bidi="ar"/>
        </w:rPr>
        <w:t xml:space="preserve"> interdependent subsystems: platform strategy, merchant ecology, consumer behaviour, data analysis and advertising system. These subsystems are connected to each other through data analysis, capital flow and products flow. The main goal of the system is to coordinate internal business units and external stakeholders while ensuring the continuous growth of GMV.</w:t>
      </w:r>
    </w:p>
    <w:p w14:paraId="565B0E4A">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097C6D6B">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b/>
          <w:bCs/>
          <w:i w:val="0"/>
          <w:iCs w:val="0"/>
          <w:color w:val="2E75B6"/>
          <w:sz w:val="24"/>
          <w:szCs w:val="24"/>
          <w:u w:val="none"/>
          <w:vertAlign w:val="baseline"/>
        </w:rPr>
      </w:pPr>
      <w:r>
        <w:rPr>
          <w:rFonts w:hint="default" w:ascii="Times New Roman" w:hAnsi="Times New Roman" w:cs="Times New Roman"/>
          <w:b/>
          <w:bCs/>
          <w:i w:val="0"/>
          <w:iCs w:val="0"/>
          <w:color w:val="2E75B6"/>
          <w:sz w:val="24"/>
          <w:szCs w:val="24"/>
          <w:u w:val="none"/>
          <w:vertAlign w:val="baseline"/>
        </w:rPr>
        <w:t>1.3  Key Challenges from System Complexity</w:t>
      </w:r>
    </w:p>
    <w:p w14:paraId="646C8EAE">
      <w:pPr>
        <w:rPr>
          <w:rFonts w:hint="default"/>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3"/>
        <w:gridCol w:w="8003"/>
      </w:tblGrid>
      <w:tr w14:paraId="3A795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1C3F6E"/>
            <w:tcMar>
              <w:top w:w="80" w:type="dxa"/>
              <w:left w:w="100" w:type="dxa"/>
              <w:bottom w:w="80" w:type="dxa"/>
              <w:right w:w="80" w:type="dxa"/>
            </w:tcMar>
            <w:vAlign w:val="top"/>
          </w:tcPr>
          <w:p w14:paraId="326C4156">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Challenge 1</w:t>
            </w:r>
          </w:p>
        </w:tc>
        <w:tc>
          <w:tcPr>
            <w:tcW w:w="0" w:type="auto"/>
            <w:tcBorders>
              <w:top w:val="single" w:color="C8DCF0" w:sz="4" w:space="0"/>
              <w:left w:val="single" w:color="C8DCF0" w:sz="4" w:space="0"/>
              <w:bottom w:val="single" w:color="C8DCF0" w:sz="4" w:space="0"/>
              <w:right w:val="single" w:color="C8DCF0" w:sz="4" w:space="0"/>
            </w:tcBorders>
            <w:shd w:val="clear" w:color="auto" w:fill="EEF4FA"/>
            <w:tcMar>
              <w:top w:w="80" w:type="dxa"/>
              <w:left w:w="120" w:type="dxa"/>
              <w:bottom w:w="80" w:type="dxa"/>
              <w:right w:w="120" w:type="dxa"/>
            </w:tcMar>
            <w:vAlign w:val="top"/>
          </w:tcPr>
          <w:p w14:paraId="187BB138">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There are obstacles to cross-departmental collaboration. Our team covers many fields such as advertising, e-commerce operation, data analysis and marketing activity manage</w:t>
            </w:r>
            <w:r>
              <w:rPr>
                <w:rFonts w:hint="eastAsia" w:ascii="Times New Roman" w:hAnsi="Times New Roman" w:cs="Times New Roman" w:eastAsiaTheme="minorEastAsia"/>
                <w:i w:val="0"/>
                <w:iCs w:val="0"/>
                <w:color w:val="1F1F1F"/>
                <w:kern w:val="0"/>
                <w:sz w:val="24"/>
                <w:szCs w:val="24"/>
                <w:u w:val="none"/>
                <w:vertAlign w:val="baseline"/>
                <w:lang w:val="en-US" w:eastAsia="zh-CN" w:bidi="ar"/>
              </w:rPr>
              <w:t>m</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ent. Decisions made by individual departments may not bring the best results to the whole team. For example, a successful advertising campaign may attract a large number of customers. However, if there is no coordination with the operation department and timely notification of the brand , the high exposure may not be converted into actual purchase.</w:t>
            </w:r>
          </w:p>
        </w:tc>
      </w:tr>
    </w:tbl>
    <w:p w14:paraId="230ED584">
      <w:pPr>
        <w:spacing w:line="360" w:lineRule="auto"/>
        <w:jc w:val="both"/>
        <w:rPr>
          <w:rFonts w:hint="default" w:ascii="Times New Roman" w:hAnsi="Times New Roman" w:cs="Times New Roman"/>
          <w:sz w:val="24"/>
          <w:szCs w:val="24"/>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6"/>
        <w:gridCol w:w="8000"/>
      </w:tblGrid>
      <w:tr w14:paraId="4E4C2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854F0B"/>
            <w:tcMar>
              <w:top w:w="80" w:type="dxa"/>
              <w:left w:w="100" w:type="dxa"/>
              <w:bottom w:w="80" w:type="dxa"/>
              <w:right w:w="80" w:type="dxa"/>
            </w:tcMar>
            <w:vAlign w:val="top"/>
          </w:tcPr>
          <w:p w14:paraId="3E589C85">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Challenge 2</w:t>
            </w:r>
          </w:p>
        </w:tc>
        <w:tc>
          <w:tcPr>
            <w:tcW w:w="0" w:type="auto"/>
            <w:tcBorders>
              <w:top w:val="single" w:color="C8DCF0" w:sz="4" w:space="0"/>
              <w:left w:val="single" w:color="C8DCF0" w:sz="4" w:space="0"/>
              <w:bottom w:val="single" w:color="C8DCF0" w:sz="4" w:space="0"/>
              <w:right w:val="single" w:color="C8DCF0" w:sz="4" w:space="0"/>
            </w:tcBorders>
            <w:shd w:val="clear" w:color="auto" w:fill="EEF4FA"/>
            <w:tcMar>
              <w:top w:w="80" w:type="dxa"/>
              <w:left w:w="120" w:type="dxa"/>
              <w:bottom w:w="80" w:type="dxa"/>
              <w:right w:w="120" w:type="dxa"/>
            </w:tcMar>
            <w:vAlign w:val="top"/>
          </w:tcPr>
          <w:p w14:paraId="526F7C4F">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Data delay will have a negative impact. Based on T+1 or T+2 data, the operation team cannot identify and solve the problem in real time. For example, a sudden increase in the amount of payment cancellations may mean that the discount did not take effect in time. If the operation fails to find this problem in time, resulting in irreparable losses in transaction volume. These losses cannot be made up even after the end of the promotion.</w:t>
            </w:r>
          </w:p>
        </w:tc>
      </w:tr>
    </w:tbl>
    <w:p w14:paraId="51D0D561">
      <w:pPr>
        <w:keepNext w:val="0"/>
        <w:keepLines w:val="0"/>
        <w:widowControl/>
        <w:suppressLineNumbers w:val="0"/>
        <w:spacing w:line="360" w:lineRule="auto"/>
        <w:jc w:val="both"/>
        <w:rPr>
          <w:rFonts w:hint="default" w:ascii="Times New Roman" w:hAnsi="Times New Roman" w:cs="Times New Roman"/>
          <w:sz w:val="24"/>
          <w:szCs w:val="24"/>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6"/>
        <w:gridCol w:w="8000"/>
      </w:tblGrid>
      <w:tr w14:paraId="49DD9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0F6E56"/>
            <w:tcMar>
              <w:top w:w="80" w:type="dxa"/>
              <w:left w:w="100" w:type="dxa"/>
              <w:bottom w:w="80" w:type="dxa"/>
              <w:right w:w="80" w:type="dxa"/>
            </w:tcMar>
            <w:vAlign w:val="top"/>
          </w:tcPr>
          <w:p w14:paraId="36490FE8">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Challenge 3</w:t>
            </w:r>
          </w:p>
        </w:tc>
        <w:tc>
          <w:tcPr>
            <w:tcW w:w="0" w:type="auto"/>
            <w:tcBorders>
              <w:top w:val="single" w:color="C8DCF0" w:sz="4" w:space="0"/>
              <w:left w:val="single" w:color="C8DCF0" w:sz="4" w:space="0"/>
              <w:bottom w:val="single" w:color="C8DCF0" w:sz="4" w:space="0"/>
              <w:right w:val="single" w:color="C8DCF0" w:sz="4" w:space="0"/>
            </w:tcBorders>
            <w:shd w:val="clear" w:color="auto" w:fill="EEF4FA"/>
            <w:tcMar>
              <w:top w:w="80" w:type="dxa"/>
              <w:left w:w="120" w:type="dxa"/>
              <w:bottom w:w="80" w:type="dxa"/>
              <w:right w:w="120" w:type="dxa"/>
            </w:tcMar>
            <w:vAlign w:val="top"/>
          </w:tcPr>
          <w:p w14:paraId="3D532D5E">
            <w:pPr>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Philippine consumer behaviour is different from the standard e-commerce model. Specifically, Filipino consumers especially prefer cash on delivery (COD) and GCash. They tend to spend a lot of money on Christmas and payday.  All these factors make it difficult to effectively implement the traditional operating model in the Philippines.</w:t>
            </w:r>
          </w:p>
        </w:tc>
      </w:tr>
    </w:tbl>
    <w:p w14:paraId="205885AC">
      <w:pPr>
        <w:spacing w:line="360" w:lineRule="auto"/>
        <w:rPr>
          <w:rFonts w:hint="default"/>
        </w:rPr>
      </w:pPr>
    </w:p>
    <w:p w14:paraId="02F1CA23">
      <w:pPr>
        <w:pStyle w:val="2"/>
        <w:keepNext w:val="0"/>
        <w:keepLines w:val="0"/>
        <w:widowControl/>
        <w:suppressLineNumbers w:val="0"/>
        <w:pBdr>
          <w:top w:val="none" w:color="auto" w:sz="0" w:space="0"/>
          <w:left w:val="none" w:color="auto" w:sz="0" w:space="0"/>
          <w:bottom w:val="single" w:color="2E75B6" w:sz="8" w:space="1"/>
          <w:right w:val="none" w:color="auto" w:sz="0" w:space="0"/>
        </w:pBdr>
        <w:bidi w:val="0"/>
        <w:spacing w:before="320" w:beforeAutospacing="0" w:after="100" w:afterAutospacing="0" w:line="360" w:lineRule="auto"/>
        <w:jc w:val="both"/>
        <w:rPr>
          <w:rFonts w:hint="default" w:ascii="Times New Roman" w:hAnsi="Times New Roman" w:cs="Times New Roman"/>
          <w:sz w:val="28"/>
          <w:szCs w:val="28"/>
        </w:rPr>
      </w:pPr>
      <w:r>
        <w:rPr>
          <w:rFonts w:hint="default" w:ascii="Times New Roman" w:hAnsi="Times New Roman" w:cs="Times New Roman"/>
          <w:b/>
          <w:bCs/>
          <w:i w:val="0"/>
          <w:iCs w:val="0"/>
          <w:color w:val="1C3F6E"/>
          <w:sz w:val="28"/>
          <w:szCs w:val="28"/>
          <w:u w:val="none"/>
          <w:vertAlign w:val="baseline"/>
        </w:rPr>
        <w:t>2. Main Content</w:t>
      </w:r>
    </w:p>
    <w:p w14:paraId="1797A5E4">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2E75B6"/>
          <w:sz w:val="24"/>
          <w:szCs w:val="24"/>
          <w:u w:val="none"/>
          <w:vertAlign w:val="baseline"/>
        </w:rPr>
        <w:t>2.1  System Composition and Architecture</w:t>
      </w:r>
    </w:p>
    <w:p w14:paraId="2292B279">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GMV Growth Operations System can be decomposed into five tightly coupled subsystems, each playing a distinct role in the value chain:</w:t>
      </w:r>
    </w:p>
    <w:p w14:paraId="6B18D589">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2"/>
          <w:szCs w:val="22"/>
          <w:u w:val="none"/>
          <w:vertAlign w:val="baseline"/>
          <w:lang w:val="en-US" w:eastAsia="zh-CN" w:bidi="ar"/>
        </w:rPr>
      </w:pPr>
    </w:p>
    <w:tbl>
      <w:tblPr>
        <w:tblStyle w:val="7"/>
        <w:tblW w:w="92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94"/>
        <w:gridCol w:w="3636"/>
        <w:gridCol w:w="4227"/>
      </w:tblGrid>
      <w:tr w14:paraId="292B8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1C3F6E"/>
            <w:tcMar>
              <w:top w:w="70" w:type="dxa"/>
              <w:left w:w="100" w:type="dxa"/>
              <w:bottom w:w="70" w:type="dxa"/>
              <w:right w:w="80" w:type="dxa"/>
            </w:tcMar>
            <w:vAlign w:val="top"/>
          </w:tcPr>
          <w:p w14:paraId="49C241CF">
            <w:pPr>
              <w:pStyle w:val="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Subsystem</w:t>
            </w:r>
          </w:p>
        </w:tc>
        <w:tc>
          <w:tcPr>
            <w:tcW w:w="3636" w:type="dxa"/>
            <w:tcBorders>
              <w:top w:val="single" w:color="C8DCF0" w:sz="4" w:space="0"/>
              <w:left w:val="single" w:color="C8DCF0" w:sz="4" w:space="0"/>
              <w:bottom w:val="single" w:color="C8DCF0" w:sz="4" w:space="0"/>
              <w:right w:val="single" w:color="C8DCF0" w:sz="4" w:space="0"/>
            </w:tcBorders>
            <w:shd w:val="clear" w:color="auto" w:fill="1C3F6E"/>
            <w:tcMar>
              <w:top w:w="70" w:type="dxa"/>
              <w:left w:w="100" w:type="dxa"/>
              <w:bottom w:w="70" w:type="dxa"/>
              <w:right w:w="80" w:type="dxa"/>
            </w:tcMar>
            <w:vAlign w:val="top"/>
          </w:tcPr>
          <w:p w14:paraId="791FC8F8">
            <w:pPr>
              <w:pStyle w:val="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Key components</w:t>
            </w:r>
          </w:p>
        </w:tc>
        <w:tc>
          <w:tcPr>
            <w:tcW w:w="4227" w:type="dxa"/>
            <w:tcBorders>
              <w:top w:val="single" w:color="C8DCF0" w:sz="4" w:space="0"/>
              <w:left w:val="single" w:color="C8DCF0" w:sz="4" w:space="0"/>
              <w:bottom w:val="single" w:color="C8DCF0" w:sz="4" w:space="0"/>
              <w:right w:val="single" w:color="C8DCF0" w:sz="4" w:space="0"/>
            </w:tcBorders>
            <w:shd w:val="clear" w:color="auto" w:fill="1C3F6E"/>
            <w:tcMar>
              <w:top w:w="70" w:type="dxa"/>
              <w:left w:w="100" w:type="dxa"/>
              <w:bottom w:w="70" w:type="dxa"/>
              <w:right w:w="80" w:type="dxa"/>
            </w:tcMar>
            <w:vAlign w:val="top"/>
          </w:tcPr>
          <w:p w14:paraId="350A5465">
            <w:pPr>
              <w:pStyle w:val="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rPr>
            </w:pPr>
            <w:r>
              <w:rPr>
                <w:rFonts w:hint="default" w:ascii="Times New Roman" w:hAnsi="Times New Roman" w:cs="Times New Roman"/>
                <w:b/>
                <w:bCs/>
                <w:i w:val="0"/>
                <w:iCs w:val="0"/>
                <w:color w:val="FFFFFF"/>
                <w:sz w:val="20"/>
                <w:szCs w:val="20"/>
                <w:u w:val="none"/>
                <w:vertAlign w:val="baseline"/>
              </w:rPr>
              <w:t>Role in system</w:t>
            </w:r>
          </w:p>
        </w:tc>
      </w:tr>
      <w:tr w14:paraId="7DC1C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0FC9A48B">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Platform operation</w:t>
            </w:r>
          </w:p>
        </w:tc>
        <w:tc>
          <w:tcPr>
            <w:tcW w:w="3636" w:type="dxa"/>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55D89464">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Brand pool threshold, vouchers, traffic rules, campaign calendar</w:t>
            </w:r>
          </w:p>
        </w:tc>
        <w:tc>
          <w:tcPr>
            <w:tcW w:w="4227" w:type="dxa"/>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58F8A65E">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Set an incentive mechanism to dominate the behaviour of merchants and consumers</w:t>
            </w:r>
          </w:p>
        </w:tc>
      </w:tr>
      <w:tr w14:paraId="0F57CE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rPr>
        <w:tc>
          <w:tcPr>
            <w:tcW w:w="0" w:type="auto"/>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3866C89C">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Merchant Ecosystem</w:t>
            </w:r>
          </w:p>
        </w:tc>
        <w:tc>
          <w:tcPr>
            <w:tcW w:w="3636"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05EBD95A">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Brand partners, small and medium-sized businesses, pricing strategies, products supply</w:t>
            </w:r>
          </w:p>
        </w:tc>
        <w:tc>
          <w:tcPr>
            <w:tcW w:w="4227"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7EE95AAD">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Provide products supply that transforms consumer demand into GMV</w:t>
            </w:r>
          </w:p>
        </w:tc>
      </w:tr>
      <w:tr w14:paraId="180E65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5CCA2F91">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Consumer System</w:t>
            </w:r>
          </w:p>
        </w:tc>
        <w:tc>
          <w:tcPr>
            <w:tcW w:w="3636" w:type="dxa"/>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6559BA9F">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Browsing, additional purchase, checkout, payment, repurchase (about 8–12 USD on average)</w:t>
            </w:r>
          </w:p>
        </w:tc>
        <w:tc>
          <w:tcPr>
            <w:tcW w:w="4227" w:type="dxa"/>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5900BC34">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Demand side; high price sensitivity and COD preference in the Philippine market</w:t>
            </w:r>
          </w:p>
          <w:p w14:paraId="3A023BE1">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tc>
      </w:tr>
      <w:tr w14:paraId="4C09C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011CFCFA">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Data &amp; Analytics</w:t>
            </w:r>
          </w:p>
        </w:tc>
        <w:tc>
          <w:tcPr>
            <w:tcW w:w="3636"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6DA1BC3A">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GMV dashboards, funnel models, A/B test, attribution analysis</w:t>
            </w:r>
          </w:p>
        </w:tc>
        <w:tc>
          <w:tcPr>
            <w:tcW w:w="4227"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678C40B5">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Provide a feedback layer to support team decision-making and real-time performance monitoring</w:t>
            </w:r>
          </w:p>
        </w:tc>
      </w:tr>
      <w:tr w14:paraId="09B14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06" w:hRule="atLeast"/>
        </w:trPr>
        <w:tc>
          <w:tcPr>
            <w:tcW w:w="0" w:type="auto"/>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463C88BC">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Advertising System</w:t>
            </w:r>
          </w:p>
        </w:tc>
        <w:tc>
          <w:tcPr>
            <w:tcW w:w="3636" w:type="dxa"/>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5D031D77">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Brand advertising budget, placement location, ROI and ROAS tracking</w:t>
            </w:r>
          </w:p>
        </w:tc>
        <w:tc>
          <w:tcPr>
            <w:tcW w:w="4227" w:type="dxa"/>
            <w:tcBorders>
              <w:top w:val="single" w:color="C8DCF0" w:sz="4" w:space="0"/>
              <w:left w:val="single" w:color="C8DCF0" w:sz="4" w:space="0"/>
              <w:bottom w:val="single" w:color="C8DCF0" w:sz="4" w:space="0"/>
              <w:right w:val="single" w:color="C8DCF0" w:sz="4" w:space="0"/>
            </w:tcBorders>
            <w:shd w:val="clear" w:color="auto" w:fill="EEF4FA"/>
            <w:tcMar>
              <w:top w:w="60" w:type="dxa"/>
              <w:left w:w="100" w:type="dxa"/>
              <w:bottom w:w="60" w:type="dxa"/>
              <w:right w:w="80" w:type="dxa"/>
            </w:tcMar>
            <w:vAlign w:val="top"/>
          </w:tcPr>
          <w:p w14:paraId="71C23FDD">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drive top-of-funnel awareness of the funnel, and cooperate with operations to improve the efficiency of the whole link</w:t>
            </w:r>
          </w:p>
        </w:tc>
      </w:tr>
    </w:tbl>
    <w:p w14:paraId="41F5D7B7">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1BBCE728">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These subsystems are not simply arranged in order, but form a highly interconnected network. For example, raising the discount threshold of the brand pool may lead to a decrease in participating merchants, a decrease in the variety of goods, a decrease in consumers' willingness to buy, and a decrease in transaction volume. This characteristic of "change has a far-reaching impact" affects the whole system, which is also the main reason why it is complex and difficult to manage.</w:t>
      </w:r>
    </w:p>
    <w:p w14:paraId="7C3B3271">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2"/>
          <w:szCs w:val="22"/>
          <w:u w:val="none"/>
          <w:vertAlign w:val="baseline"/>
          <w:lang w:val="en-US" w:eastAsia="zh-CN" w:bidi="ar"/>
        </w:rPr>
      </w:pPr>
    </w:p>
    <w:p w14:paraId="579AA395">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2E75B6"/>
          <w:sz w:val="24"/>
          <w:szCs w:val="24"/>
          <w:u w:val="none"/>
          <w:vertAlign w:val="baseline"/>
        </w:rPr>
        <w:t>2.2  Stakeholder Analysis and Incentive Structure</w:t>
      </w:r>
    </w:p>
    <w:p w14:paraId="7AC4D8F2">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system consists of multiple teams, and each team has a specific goal. The goal of the platform team is to maximise the number and amount of transactions, while the brand hopes to protect its rights and interests and increase the exposure of goods. Filipino consumers are highly sensitive to prices and rely on their payment methods, hoping to get high-quality goods at lower prices.</w:t>
      </w:r>
    </w:p>
    <w:p w14:paraId="19D8C2FF">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4790FEC1">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biggest challenge in the system lies within the team.</w:t>
      </w:r>
      <w:r>
        <w:rPr>
          <w:rFonts w:hint="eastAsia" w:ascii="Times New Roman" w:hAnsi="Times New Roman" w:cs="Times New Roman" w:eastAsiaTheme="minorEastAsia"/>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advertising team measures success by advertising revenue and ROI, while the operation team uses transaction growth rate and merchant penetration rate as indicators. Without a unified framework, the two departments may conflict over shared brand partners.</w:t>
      </w:r>
    </w:p>
    <w:p w14:paraId="4AFFA4A7">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2"/>
          <w:szCs w:val="22"/>
          <w:u w:val="none"/>
          <w:vertAlign w:val="baseline"/>
          <w:lang w:val="en-US" w:eastAsia="zh-CN" w:bidi="ar"/>
        </w:rPr>
      </w:pPr>
    </w:p>
    <w:p w14:paraId="47179519">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b/>
          <w:bCs/>
          <w:i w:val="0"/>
          <w:iCs w:val="0"/>
          <w:color w:val="2E75B6"/>
          <w:sz w:val="24"/>
          <w:szCs w:val="24"/>
          <w:u w:val="none"/>
          <w:vertAlign w:val="baseline"/>
        </w:rPr>
      </w:pPr>
      <w:r>
        <w:rPr>
          <w:rFonts w:hint="default" w:ascii="Times New Roman" w:hAnsi="Times New Roman" w:cs="Times New Roman"/>
          <w:b/>
          <w:bCs/>
          <w:i w:val="0"/>
          <w:iCs w:val="0"/>
          <w:color w:val="2E75B6"/>
          <w:sz w:val="24"/>
          <w:szCs w:val="24"/>
          <w:u w:val="none"/>
          <w:vertAlign w:val="baseline"/>
        </w:rPr>
        <w:t>2.3  Feedback Loop Analysis — System Dynamics</w:t>
      </w:r>
    </w:p>
    <w:p w14:paraId="37F2193D">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system dynamics method identifies two key feedback loops, which determine the performance of GMV and explain the counter intuitive behaviour</w:t>
      </w:r>
      <w:r>
        <w:rPr>
          <w:rFonts w:hint="eastAsia" w:ascii="Times New Roman" w:hAnsi="Times New Roman" w:cs="Times New Roman" w:eastAsiaTheme="minorEastAsia"/>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observed in operation:</w:t>
      </w:r>
    </w:p>
    <w:p w14:paraId="325B0246">
      <w:pPr>
        <w:spacing w:line="360" w:lineRule="auto"/>
        <w:jc w:val="both"/>
        <w:rPr>
          <w:rFonts w:hint="default" w:ascii="Times New Roman" w:hAnsi="Times New Roman" w:cs="Times New Roman"/>
          <w:i w:val="0"/>
          <w:iCs w:val="0"/>
          <w:color w:val="1F1F1F"/>
          <w:sz w:val="22"/>
          <w:szCs w:val="22"/>
          <w:u w:val="none"/>
          <w:vertAlign w:val="baseline"/>
        </w:rPr>
      </w:pPr>
    </w:p>
    <w:tbl>
      <w:tblPr>
        <w:tblStyle w:val="7"/>
        <w:tblW w:w="92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6"/>
        <w:gridCol w:w="7337"/>
      </w:tblGrid>
      <w:tr w14:paraId="16C1F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66" w:type="dxa"/>
            <w:tcBorders>
              <w:top w:val="single" w:color="C8DCF0" w:sz="4" w:space="0"/>
              <w:left w:val="single" w:color="C8DCF0" w:sz="4" w:space="0"/>
              <w:bottom w:val="single" w:color="C8DCF0" w:sz="4" w:space="0"/>
              <w:right w:val="single" w:color="C8DCF0" w:sz="4" w:space="0"/>
            </w:tcBorders>
            <w:shd w:val="clear" w:color="auto" w:fill="0F6E56"/>
            <w:tcMar>
              <w:top w:w="80" w:type="dxa"/>
              <w:left w:w="100" w:type="dxa"/>
              <w:bottom w:w="80" w:type="dxa"/>
              <w:right w:w="80" w:type="dxa"/>
            </w:tcMar>
            <w:vAlign w:val="top"/>
          </w:tcPr>
          <w:p w14:paraId="598E048F">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b/>
                <w:bCs/>
                <w:i w:val="0"/>
                <w:iCs w:val="0"/>
                <w:color w:val="FFFFFF"/>
                <w:sz w:val="24"/>
                <w:szCs w:val="24"/>
                <w:u w:val="none"/>
                <w:vertAlign w:val="baseline"/>
              </w:rPr>
            </w:pPr>
            <w:r>
              <w:rPr>
                <w:rFonts w:hint="default" w:ascii="Times New Roman" w:hAnsi="Times New Roman" w:cs="Times New Roman"/>
                <w:b/>
                <w:bCs/>
                <w:i w:val="0"/>
                <w:iCs w:val="0"/>
                <w:color w:val="FFFFFF"/>
                <w:sz w:val="24"/>
                <w:szCs w:val="24"/>
                <w:u w:val="none"/>
                <w:vertAlign w:val="baseline"/>
              </w:rPr>
              <w:t xml:space="preserve">R1 — Reinforcing Loop </w:t>
            </w:r>
          </w:p>
          <w:p w14:paraId="71F9EA3E">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(Virtuous Growth Cycle)</w:t>
            </w:r>
          </w:p>
        </w:tc>
        <w:tc>
          <w:tcPr>
            <w:tcW w:w="7337" w:type="dxa"/>
            <w:tcBorders>
              <w:top w:val="single" w:color="C8DCF0" w:sz="4" w:space="0"/>
              <w:left w:val="single" w:color="C8DCF0" w:sz="4" w:space="0"/>
              <w:bottom w:val="single" w:color="C8DCF0" w:sz="4" w:space="0"/>
              <w:right w:val="single" w:color="C8DCF0" w:sz="4" w:space="0"/>
            </w:tcBorders>
            <w:shd w:val="clear" w:color="auto" w:fill="E1F5EE"/>
            <w:tcMar>
              <w:top w:w="80" w:type="dxa"/>
              <w:left w:w="120" w:type="dxa"/>
              <w:bottom w:w="80" w:type="dxa"/>
              <w:right w:w="120" w:type="dxa"/>
            </w:tcMar>
            <w:vAlign w:val="top"/>
          </w:tcPr>
          <w:p w14:paraId="5853DFB4">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 xml:space="preserve">When merchants submit products with competitive prices, these products will be put into the high-flow and high-exposure </w:t>
            </w:r>
            <w:r>
              <w:rPr>
                <w:rFonts w:hint="default" w:ascii="Times New Roman" w:hAnsi="Times New Roman" w:cs="Times New Roman"/>
                <w:i w:val="0"/>
                <w:iCs w:val="0"/>
                <w:color w:val="1F1F1F"/>
                <w:kern w:val="0"/>
                <w:sz w:val="24"/>
                <w:szCs w:val="24"/>
                <w:u w:val="none"/>
                <w:vertAlign w:val="baseline"/>
                <w:lang w:val="en-US" w:eastAsia="zh-CN" w:bidi="ar"/>
              </w:rPr>
              <w:t xml:space="preserve">products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pool, thus expanding the diversity of platform products.</w:t>
            </w:r>
            <w:r>
              <w:rPr>
                <w:rFonts w:hint="eastAsia" w:ascii="Times New Roman" w:hAnsi="Times New Roman" w:cs="Times New Roman"/>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With the growth of GMV, the platform will allocate more traffic to participating merchants, so as to increase sales and attract more merchants to join the program. Under active macro-regulation, this virtuous cycle can realise the exponential growth of GMV - with the addition of every merchant providing high-quality goods, the cycle accelerates growth</w:t>
            </w:r>
            <w:r>
              <w:rPr>
                <w:rFonts w:hint="default" w:ascii="Times New Roman" w:hAnsi="Times New Roman" w:cs="Times New Roman"/>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(Sterman, 2000) .</w:t>
            </w:r>
          </w:p>
        </w:tc>
      </w:tr>
    </w:tbl>
    <w:p w14:paraId="2E011F56">
      <w:pPr>
        <w:keepNext w:val="0"/>
        <w:keepLines w:val="0"/>
        <w:widowControl/>
        <w:suppressLineNumbers w:val="0"/>
        <w:spacing w:line="360" w:lineRule="auto"/>
        <w:jc w:val="both"/>
        <w:rPr>
          <w:rFonts w:hint="default" w:ascii="Times New Roman" w:hAnsi="Times New Roman" w:cs="Times New Roman"/>
          <w:sz w:val="24"/>
          <w:szCs w:val="24"/>
        </w:rPr>
      </w:pPr>
    </w:p>
    <w:p w14:paraId="70869C97">
      <w:pPr>
        <w:keepNext w:val="0"/>
        <w:keepLines w:val="0"/>
        <w:widowControl/>
        <w:suppressLineNumbers w:val="0"/>
        <w:spacing w:line="360" w:lineRule="auto"/>
        <w:jc w:val="both"/>
        <w:rPr>
          <w:rFonts w:hint="default" w:ascii="Times New Roman" w:hAnsi="Times New Roman" w:cs="Times New Roman"/>
          <w:sz w:val="24"/>
          <w:szCs w:val="24"/>
        </w:rPr>
      </w:pPr>
    </w:p>
    <w:tbl>
      <w:tblPr>
        <w:tblStyle w:val="7"/>
        <w:tblW w:w="91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6"/>
        <w:gridCol w:w="7286"/>
      </w:tblGrid>
      <w:tr w14:paraId="2C11A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66" w:type="dxa"/>
            <w:tcBorders>
              <w:top w:val="single" w:color="C8DCF0" w:sz="4" w:space="0"/>
              <w:left w:val="single" w:color="C8DCF0" w:sz="4" w:space="0"/>
              <w:bottom w:val="single" w:color="C8DCF0" w:sz="4" w:space="0"/>
              <w:right w:val="single" w:color="C8DCF0" w:sz="4" w:space="0"/>
            </w:tcBorders>
            <w:shd w:val="clear" w:color="auto" w:fill="A32D2D"/>
            <w:tcMar>
              <w:top w:w="80" w:type="dxa"/>
              <w:left w:w="100" w:type="dxa"/>
              <w:bottom w:w="80" w:type="dxa"/>
              <w:right w:w="80" w:type="dxa"/>
            </w:tcMar>
            <w:vAlign w:val="top"/>
          </w:tcPr>
          <w:p w14:paraId="7214F608">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B1 — Balancing Loop (Over-threshold Trap)</w:t>
            </w:r>
          </w:p>
        </w:tc>
        <w:tc>
          <w:tcPr>
            <w:tcW w:w="7286" w:type="dxa"/>
            <w:tcBorders>
              <w:top w:val="single" w:color="C8DCF0" w:sz="4" w:space="0"/>
              <w:left w:val="single" w:color="C8DCF0" w:sz="4" w:space="0"/>
              <w:bottom w:val="single" w:color="C8DCF0" w:sz="4" w:space="0"/>
              <w:right w:val="single" w:color="C8DCF0" w:sz="4" w:space="0"/>
            </w:tcBorders>
            <w:shd w:val="clear" w:color="auto" w:fill="FCEBEB"/>
            <w:tcMar>
              <w:top w:w="80" w:type="dxa"/>
              <w:left w:w="120" w:type="dxa"/>
              <w:bottom w:w="80" w:type="dxa"/>
              <w:right w:w="120" w:type="dxa"/>
            </w:tcMar>
            <w:vAlign w:val="top"/>
          </w:tcPr>
          <w:p w14:paraId="53BBFA28">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i w:val="0"/>
                <w:iCs w:val="0"/>
                <w:color w:val="1F1F1F"/>
                <w:sz w:val="24"/>
                <w:szCs w:val="24"/>
                <w:u w:val="none"/>
                <w:vertAlign w:val="baseline"/>
              </w:rPr>
            </w:pPr>
            <w:r>
              <w:rPr>
                <w:rFonts w:hint="default" w:ascii="Times New Roman" w:hAnsi="Times New Roman" w:cs="Times New Roman"/>
                <w:i w:val="0"/>
                <w:iCs w:val="0"/>
                <w:color w:val="1F1F1F"/>
                <w:sz w:val="24"/>
                <w:szCs w:val="24"/>
                <w:u w:val="none"/>
                <w:vertAlign w:val="baseline"/>
              </w:rPr>
              <w:t>When the platform requires a larger discount and makes the merchant take more risks, the merchant's profit will decrease. More and more merchants will stop participating in promotional activities, remove low-profit goods from the shelves or reduce the quality of goods, thus reducing the diversity of goods in the market. In the long run, consumers will think that the cost-effectiveness of goods will decline, thus reducing the willingness to buy, resulting in a decline in the conversion rate and the inability to achieve the GMV target. This will cause structural imbalance, and excessive discount requirements will eventually harm the platform's own interests.</w:t>
            </w:r>
          </w:p>
        </w:tc>
      </w:tr>
    </w:tbl>
    <w:p w14:paraId="45AD3E52">
      <w:pPr>
        <w:keepNext w:val="0"/>
        <w:keepLines w:val="0"/>
        <w:widowControl/>
        <w:suppressLineNumbers w:val="0"/>
        <w:spacing w:line="360" w:lineRule="auto"/>
        <w:jc w:val="both"/>
        <w:rPr>
          <w:rFonts w:hint="default" w:ascii="Times New Roman" w:hAnsi="Times New Roman" w:cs="Times New Roman"/>
        </w:rPr>
      </w:pPr>
    </w:p>
    <w:p w14:paraId="31182563">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These two systems influence each other.</w:t>
      </w:r>
      <w:r>
        <w:rPr>
          <w:rFonts w:hint="eastAsia" w:ascii="Times New Roman" w:hAnsi="Times New Roman" w:cs="Times New Roman"/>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Solutions include extracting merchant data, analysing data at various stages of advertising exposure, and optimising the conversion rate of products transactions. This once again highlights the importance of improving the system.</w:t>
      </w:r>
    </w:p>
    <w:p w14:paraId="61D79F52">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3E8F30E4">
      <w:pPr>
        <w:pStyle w:val="3"/>
        <w:keepNext w:val="0"/>
        <w:keepLines w:val="0"/>
        <w:widowControl/>
        <w:suppressLineNumbers w:val="0"/>
        <w:bidi w:val="0"/>
        <w:spacing w:before="180" w:beforeAutospacing="0" w:after="80" w:afterAutospacing="0" w:line="360" w:lineRule="auto"/>
        <w:jc w:val="both"/>
        <w:rPr>
          <w:rFonts w:hint="default" w:ascii="Times New Roman" w:hAnsi="Times New Roman" w:cs="Times New Roman"/>
          <w:b/>
          <w:bCs/>
          <w:i w:val="0"/>
          <w:iCs w:val="0"/>
          <w:color w:val="2E75B6"/>
          <w:sz w:val="24"/>
          <w:szCs w:val="24"/>
          <w:u w:val="none"/>
          <w:vertAlign w:val="baseline"/>
        </w:rPr>
      </w:pPr>
      <w:r>
        <w:rPr>
          <w:rFonts w:hint="default" w:ascii="Times New Roman" w:hAnsi="Times New Roman" w:cs="Times New Roman"/>
          <w:b/>
          <w:bCs/>
          <w:i w:val="0"/>
          <w:iCs w:val="0"/>
          <w:color w:val="2E75B6"/>
          <w:sz w:val="24"/>
          <w:szCs w:val="24"/>
          <w:u w:val="none"/>
          <w:vertAlign w:val="baseline"/>
        </w:rPr>
        <w:t>2.4  Conversion Funnel Analysis — VEE Mo</w:t>
      </w:r>
      <w:r>
        <w:rPr>
          <w:rFonts w:hint="default" w:ascii="Times New Roman" w:hAnsi="Times New Roman" w:cs="Times New Roman"/>
          <w:b/>
          <w:bCs/>
          <w:i w:val="0"/>
          <w:iCs w:val="0"/>
          <w:color w:val="2E75B6"/>
          <w:sz w:val="24"/>
          <w:szCs w:val="24"/>
          <w:u w:val="none"/>
          <w:vertAlign w:val="baseline"/>
        </w:rPr>
        <w:t>del Application</w:t>
      </w:r>
    </w:p>
    <w:p w14:paraId="2D28C748">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In the application of the VEE model in system engineering, the requirement definition stage begins with funnel analysis to locate the loss point of system value (Blanchard &amp; Blyler, 2016). The six-stage conversion funnel (exposure → click → additional purchase → checkout → payment → repurchase) reveals three key bottlenecks:</w:t>
      </w:r>
    </w:p>
    <w:p w14:paraId="6B4AF352">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i w:val="0"/>
          <w:iCs w:val="0"/>
          <w:color w:val="1F1F1F"/>
          <w:sz w:val="22"/>
          <w:szCs w:val="22"/>
          <w:u w:val="none"/>
          <w:vertAlign w:val="baseline"/>
        </w:rPr>
      </w:pPr>
    </w:p>
    <w:tbl>
      <w:tblPr>
        <w:tblStyle w:val="7"/>
        <w:tblW w:w="91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53"/>
        <w:gridCol w:w="1200"/>
        <w:gridCol w:w="6084"/>
      </w:tblGrid>
      <w:tr w14:paraId="32348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1853" w:type="dxa"/>
            <w:tcBorders>
              <w:top w:val="single" w:color="C8DCF0" w:sz="4" w:space="0"/>
              <w:left w:val="single" w:color="C8DCF0" w:sz="4" w:space="0"/>
              <w:bottom w:val="single" w:color="C8DCF0" w:sz="4" w:space="0"/>
              <w:right w:val="single" w:color="C8DCF0" w:sz="4" w:space="0"/>
            </w:tcBorders>
            <w:shd w:val="clear" w:color="auto" w:fill="A32D2D"/>
            <w:tcMar>
              <w:top w:w="70" w:type="dxa"/>
              <w:left w:w="100" w:type="dxa"/>
              <w:bottom w:w="70" w:type="dxa"/>
              <w:right w:w="80" w:type="dxa"/>
            </w:tcMar>
            <w:vAlign w:val="top"/>
          </w:tcPr>
          <w:p w14:paraId="4FAB949A">
            <w:pPr>
              <w:pStyle w:val="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Funnel stage</w:t>
            </w:r>
          </w:p>
        </w:tc>
        <w:tc>
          <w:tcPr>
            <w:tcW w:w="1200" w:type="dxa"/>
            <w:tcBorders>
              <w:top w:val="single" w:color="C8DCF0" w:sz="4" w:space="0"/>
              <w:left w:val="single" w:color="C8DCF0" w:sz="4" w:space="0"/>
              <w:bottom w:val="single" w:color="C8DCF0" w:sz="4" w:space="0"/>
              <w:right w:val="single" w:color="C8DCF0" w:sz="4" w:space="0"/>
            </w:tcBorders>
            <w:shd w:val="clear" w:color="auto" w:fill="A32D2D"/>
            <w:tcMar>
              <w:top w:w="70" w:type="dxa"/>
              <w:left w:w="100" w:type="dxa"/>
              <w:bottom w:w="70" w:type="dxa"/>
              <w:right w:w="80" w:type="dxa"/>
            </w:tcMar>
            <w:vAlign w:val="top"/>
          </w:tcPr>
          <w:p w14:paraId="692C5FBC">
            <w:pPr>
              <w:pStyle w:val="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Drop-off</w:t>
            </w:r>
          </w:p>
        </w:tc>
        <w:tc>
          <w:tcPr>
            <w:tcW w:w="6084" w:type="dxa"/>
            <w:tcBorders>
              <w:top w:val="single" w:color="C8DCF0" w:sz="4" w:space="0"/>
              <w:left w:val="single" w:color="C8DCF0" w:sz="4" w:space="0"/>
              <w:bottom w:val="single" w:color="C8DCF0" w:sz="4" w:space="0"/>
              <w:right w:val="single" w:color="C8DCF0" w:sz="4" w:space="0"/>
            </w:tcBorders>
            <w:shd w:val="clear" w:color="auto" w:fill="A32D2D"/>
            <w:tcMar>
              <w:top w:w="70" w:type="dxa"/>
              <w:left w:w="100" w:type="dxa"/>
              <w:bottom w:w="70" w:type="dxa"/>
              <w:right w:w="80" w:type="dxa"/>
            </w:tcMar>
            <w:vAlign w:val="top"/>
          </w:tcPr>
          <w:p w14:paraId="28586CA2">
            <w:pPr>
              <w:pStyle w:val="6"/>
              <w:keepNext w:val="0"/>
              <w:keepLines w:val="0"/>
              <w:widowControl/>
              <w:suppressLineNumbers w:val="0"/>
              <w:bidi w:val="0"/>
              <w:spacing w:before="0" w:beforeAutospacing="0" w:after="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Root cause diagnosis</w:t>
            </w:r>
          </w:p>
        </w:tc>
      </w:tr>
      <w:tr w14:paraId="44D16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549" w:hRule="atLeast"/>
        </w:trPr>
        <w:tc>
          <w:tcPr>
            <w:tcW w:w="1853" w:type="dxa"/>
            <w:tcBorders>
              <w:top w:val="single" w:color="C8DCF0" w:sz="4" w:space="0"/>
              <w:left w:val="single" w:color="C8DCF0" w:sz="4" w:space="0"/>
              <w:bottom w:val="single" w:color="C8DCF0" w:sz="4" w:space="0"/>
              <w:right w:val="single" w:color="C8DCF0" w:sz="4" w:space="0"/>
            </w:tcBorders>
            <w:shd w:val="clear" w:color="auto" w:fill="FEF0EE"/>
            <w:tcMar>
              <w:top w:w="60" w:type="dxa"/>
              <w:left w:w="100" w:type="dxa"/>
              <w:bottom w:w="60" w:type="dxa"/>
              <w:right w:w="80" w:type="dxa"/>
            </w:tcMar>
            <w:vAlign w:val="top"/>
          </w:tcPr>
          <w:p w14:paraId="06461B4E">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A32D2D"/>
                <w:sz w:val="24"/>
                <w:szCs w:val="24"/>
                <w:u w:val="none"/>
                <w:vertAlign w:val="baseline"/>
                <w:lang w:val="en-US" w:eastAsia="zh-CN"/>
              </w:rPr>
            </w:pPr>
            <w:r>
              <w:rPr>
                <w:rFonts w:hint="default" w:ascii="Times New Roman" w:hAnsi="Times New Roman" w:cs="Times New Roman"/>
                <w:b/>
                <w:bCs/>
                <w:i w:val="0"/>
                <w:iCs w:val="0"/>
                <w:color w:val="A32D2D"/>
                <w:sz w:val="24"/>
                <w:szCs w:val="24"/>
                <w:u w:val="none"/>
                <w:vertAlign w:val="baseline"/>
                <w:lang w:val="en-US" w:eastAsia="zh-CN"/>
              </w:rPr>
              <w:t xml:space="preserve">Exposure </w:t>
            </w:r>
          </w:p>
          <w:p w14:paraId="25FFBD89">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A32D2D"/>
                <w:sz w:val="24"/>
                <w:szCs w:val="24"/>
                <w:u w:val="none"/>
                <w:vertAlign w:val="baseline"/>
              </w:rPr>
            </w:pPr>
            <w:r>
              <w:rPr>
                <w:rFonts w:hint="default" w:ascii="Times New Roman" w:hAnsi="Times New Roman" w:cs="Times New Roman"/>
                <w:b/>
                <w:bCs/>
                <w:i w:val="0"/>
                <w:iCs w:val="0"/>
                <w:color w:val="A32D2D"/>
                <w:sz w:val="24"/>
                <w:szCs w:val="24"/>
                <w:u w:val="none"/>
                <w:vertAlign w:val="baseline"/>
                <w:lang w:val="en-US" w:eastAsia="zh-CN"/>
              </w:rPr>
              <w:t>→ Clicks</w:t>
            </w:r>
          </w:p>
        </w:tc>
        <w:tc>
          <w:tcPr>
            <w:tcW w:w="1200" w:type="dxa"/>
            <w:tcBorders>
              <w:top w:val="single" w:color="C8DCF0" w:sz="4" w:space="0"/>
              <w:left w:val="single" w:color="C8DCF0" w:sz="4" w:space="0"/>
              <w:bottom w:val="single" w:color="C8DCF0" w:sz="4" w:space="0"/>
              <w:right w:val="single" w:color="C8DCF0" w:sz="4" w:space="0"/>
            </w:tcBorders>
            <w:shd w:val="clear" w:color="auto" w:fill="FEF0EE"/>
            <w:tcMar>
              <w:top w:w="60" w:type="dxa"/>
              <w:left w:w="100" w:type="dxa"/>
              <w:bottom w:w="60" w:type="dxa"/>
              <w:right w:w="80" w:type="dxa"/>
            </w:tcMar>
            <w:vAlign w:val="top"/>
          </w:tcPr>
          <w:p w14:paraId="36B20D88">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A32D2D"/>
                <w:sz w:val="24"/>
                <w:szCs w:val="24"/>
                <w:u w:val="none"/>
                <w:vertAlign w:val="baseline"/>
              </w:rPr>
              <w:t>~88%</w:t>
            </w:r>
          </w:p>
        </w:tc>
        <w:tc>
          <w:tcPr>
            <w:tcW w:w="6084" w:type="dxa"/>
            <w:tcBorders>
              <w:top w:val="single" w:color="C8DCF0" w:sz="4" w:space="0"/>
              <w:left w:val="single" w:color="C8DCF0" w:sz="4" w:space="0"/>
              <w:bottom w:val="single" w:color="C8DCF0" w:sz="4" w:space="0"/>
              <w:right w:val="single" w:color="C8DCF0" w:sz="4" w:space="0"/>
            </w:tcBorders>
            <w:shd w:val="clear" w:color="auto" w:fill="FEF0EE"/>
            <w:tcMar>
              <w:top w:w="60" w:type="dxa"/>
              <w:left w:w="100" w:type="dxa"/>
              <w:bottom w:w="60" w:type="dxa"/>
              <w:right w:w="80" w:type="dxa"/>
            </w:tcMar>
            <w:vAlign w:val="top"/>
          </w:tcPr>
          <w:p w14:paraId="209AF1D7">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Content does not match the traffic: the algorithm display content does not match the user's purchase intention, resulting in high exposure but low click rate.</w:t>
            </w:r>
          </w:p>
          <w:p w14:paraId="3D8AB0E5">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tc>
      </w:tr>
      <w:tr w14:paraId="38708C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1853"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51BC1B1D">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A32D2D"/>
                <w:sz w:val="24"/>
                <w:szCs w:val="24"/>
                <w:u w:val="none"/>
                <w:vertAlign w:val="baseline"/>
                <w:lang w:val="en-US" w:eastAsia="zh-CN"/>
              </w:rPr>
            </w:pPr>
            <w:r>
              <w:rPr>
                <w:rFonts w:hint="default" w:ascii="Times New Roman" w:hAnsi="Times New Roman" w:cs="Times New Roman"/>
                <w:b/>
                <w:bCs/>
                <w:i w:val="0"/>
                <w:iCs w:val="0"/>
                <w:color w:val="A32D2D"/>
                <w:sz w:val="24"/>
                <w:szCs w:val="24"/>
                <w:u w:val="none"/>
                <w:vertAlign w:val="baseline"/>
              </w:rPr>
              <w:t>Click</w:t>
            </w:r>
            <w:r>
              <w:rPr>
                <w:rFonts w:hint="default" w:ascii="Times New Roman" w:hAnsi="Times New Roman" w:cs="Times New Roman"/>
                <w:b/>
                <w:bCs/>
                <w:i w:val="0"/>
                <w:iCs w:val="0"/>
                <w:color w:val="A32D2D"/>
                <w:sz w:val="24"/>
                <w:szCs w:val="24"/>
                <w:u w:val="none"/>
                <w:vertAlign w:val="baseline"/>
                <w:lang w:val="en-US" w:eastAsia="zh-CN"/>
              </w:rPr>
              <w:t xml:space="preserve"> </w:t>
            </w:r>
          </w:p>
          <w:p w14:paraId="61C2A6F6">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A32D2D"/>
                <w:sz w:val="24"/>
                <w:szCs w:val="24"/>
                <w:u w:val="none"/>
                <w:vertAlign w:val="baseline"/>
              </w:rPr>
            </w:pPr>
            <w:r>
              <w:rPr>
                <w:rFonts w:hint="default" w:ascii="Times New Roman" w:hAnsi="Times New Roman" w:cs="Times New Roman"/>
                <w:b/>
                <w:bCs/>
                <w:i w:val="0"/>
                <w:iCs w:val="0"/>
                <w:color w:val="A32D2D"/>
                <w:sz w:val="24"/>
                <w:szCs w:val="24"/>
                <w:u w:val="none"/>
                <w:vertAlign w:val="baseline"/>
                <w:lang w:val="en-US" w:eastAsia="zh-CN"/>
              </w:rPr>
              <w:t>→ Add to Cart</w:t>
            </w:r>
          </w:p>
        </w:tc>
        <w:tc>
          <w:tcPr>
            <w:tcW w:w="1200"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69D5F4B7">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A32D2D"/>
                <w:sz w:val="24"/>
                <w:szCs w:val="24"/>
                <w:u w:val="none"/>
                <w:vertAlign w:val="baseline"/>
              </w:rPr>
              <w:t>~78%</w:t>
            </w:r>
          </w:p>
        </w:tc>
        <w:tc>
          <w:tcPr>
            <w:tcW w:w="6084" w:type="dxa"/>
            <w:tcBorders>
              <w:top w:val="single" w:color="C8DCF0" w:sz="4" w:space="0"/>
              <w:left w:val="single" w:color="C8DCF0" w:sz="4" w:space="0"/>
              <w:bottom w:val="single" w:color="C8DCF0" w:sz="4" w:space="0"/>
              <w:right w:val="single" w:color="C8DCF0" w:sz="4" w:space="0"/>
            </w:tcBorders>
            <w:shd w:val="clear" w:color="auto" w:fill="FFFFFF"/>
            <w:tcMar>
              <w:top w:w="60" w:type="dxa"/>
              <w:left w:w="100" w:type="dxa"/>
              <w:bottom w:w="60" w:type="dxa"/>
              <w:right w:w="80" w:type="dxa"/>
            </w:tcMar>
            <w:vAlign w:val="top"/>
          </w:tcPr>
          <w:p w14:paraId="5C24BE98">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Price and value mismatch: The product page cannot reflect the expected value of Filipino consumers, especially the high cost burden of COD.</w:t>
            </w:r>
          </w:p>
        </w:tc>
      </w:tr>
      <w:tr w14:paraId="64B97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221" w:hRule="atLeast"/>
        </w:trPr>
        <w:tc>
          <w:tcPr>
            <w:tcW w:w="1853" w:type="dxa"/>
            <w:tcBorders>
              <w:top w:val="single" w:color="C8DCF0" w:sz="4" w:space="0"/>
              <w:left w:val="single" w:color="C8DCF0" w:sz="4" w:space="0"/>
              <w:bottom w:val="single" w:color="C8DCF0" w:sz="4" w:space="0"/>
              <w:right w:val="single" w:color="C8DCF0" w:sz="4" w:space="0"/>
            </w:tcBorders>
            <w:shd w:val="clear" w:color="auto" w:fill="FEF0EE"/>
            <w:tcMar>
              <w:top w:w="60" w:type="dxa"/>
              <w:left w:w="100" w:type="dxa"/>
              <w:bottom w:w="60" w:type="dxa"/>
              <w:right w:w="80" w:type="dxa"/>
            </w:tcMar>
            <w:vAlign w:val="top"/>
          </w:tcPr>
          <w:p w14:paraId="01B67200">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A32D2D"/>
                <w:sz w:val="24"/>
                <w:szCs w:val="24"/>
                <w:u w:val="none"/>
                <w:vertAlign w:val="baseline"/>
                <w:lang w:val="en-US" w:eastAsia="zh-CN"/>
              </w:rPr>
            </w:pPr>
            <w:r>
              <w:rPr>
                <w:rFonts w:hint="default" w:ascii="Times New Roman" w:hAnsi="Times New Roman" w:cs="Times New Roman"/>
                <w:b/>
                <w:bCs/>
                <w:i w:val="0"/>
                <w:iCs w:val="0"/>
                <w:color w:val="A32D2D"/>
                <w:sz w:val="24"/>
                <w:szCs w:val="24"/>
                <w:u w:val="none"/>
                <w:vertAlign w:val="baseline"/>
                <w:lang w:val="en-US" w:eastAsia="zh-CN"/>
              </w:rPr>
              <w:t xml:space="preserve">Payment </w:t>
            </w:r>
          </w:p>
          <w:p w14:paraId="59E13A6D">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b/>
                <w:bCs/>
                <w:i w:val="0"/>
                <w:iCs w:val="0"/>
                <w:color w:val="A32D2D"/>
                <w:sz w:val="24"/>
                <w:szCs w:val="24"/>
                <w:u w:val="none"/>
                <w:vertAlign w:val="baseline"/>
              </w:rPr>
            </w:pPr>
            <w:r>
              <w:rPr>
                <w:rFonts w:hint="default" w:ascii="Times New Roman" w:hAnsi="Times New Roman" w:cs="Times New Roman"/>
                <w:b/>
                <w:bCs/>
                <w:i w:val="0"/>
                <w:iCs w:val="0"/>
                <w:color w:val="A32D2D"/>
                <w:sz w:val="24"/>
                <w:szCs w:val="24"/>
                <w:u w:val="none"/>
                <w:vertAlign w:val="baseline"/>
                <w:lang w:val="en-US" w:eastAsia="zh-CN"/>
              </w:rPr>
              <w:t>→ Repurchase</w:t>
            </w:r>
          </w:p>
        </w:tc>
        <w:tc>
          <w:tcPr>
            <w:tcW w:w="1200" w:type="dxa"/>
            <w:tcBorders>
              <w:top w:val="single" w:color="C8DCF0" w:sz="4" w:space="0"/>
              <w:left w:val="single" w:color="C8DCF0" w:sz="4" w:space="0"/>
              <w:bottom w:val="single" w:color="C8DCF0" w:sz="4" w:space="0"/>
              <w:right w:val="single" w:color="C8DCF0" w:sz="4" w:space="0"/>
            </w:tcBorders>
            <w:shd w:val="clear" w:color="auto" w:fill="FEF0EE"/>
            <w:tcMar>
              <w:top w:w="60" w:type="dxa"/>
              <w:left w:w="100" w:type="dxa"/>
              <w:bottom w:w="60" w:type="dxa"/>
              <w:right w:w="80" w:type="dxa"/>
            </w:tcMar>
            <w:vAlign w:val="top"/>
          </w:tcPr>
          <w:p w14:paraId="4CC7EE63">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A32D2D"/>
                <w:sz w:val="24"/>
                <w:szCs w:val="24"/>
                <w:u w:val="none"/>
                <w:vertAlign w:val="baseline"/>
              </w:rPr>
              <w:t>~72%</w:t>
            </w:r>
          </w:p>
        </w:tc>
        <w:tc>
          <w:tcPr>
            <w:tcW w:w="6084" w:type="dxa"/>
            <w:tcBorders>
              <w:top w:val="single" w:color="C8DCF0" w:sz="4" w:space="0"/>
              <w:left w:val="single" w:color="C8DCF0" w:sz="4" w:space="0"/>
              <w:bottom w:val="single" w:color="C8DCF0" w:sz="4" w:space="0"/>
              <w:right w:val="single" w:color="C8DCF0" w:sz="4" w:space="0"/>
            </w:tcBorders>
            <w:shd w:val="clear" w:color="auto" w:fill="FEF0EE"/>
            <w:tcMar>
              <w:top w:w="60" w:type="dxa"/>
              <w:left w:w="100" w:type="dxa"/>
              <w:bottom w:w="60" w:type="dxa"/>
              <w:right w:w="80" w:type="dxa"/>
            </w:tcMar>
            <w:vAlign w:val="top"/>
          </w:tcPr>
          <w:p w14:paraId="45D05D0A">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Lack of repurchase activation mechanism: lack of systematic coupons or membership mechanism, the first order user cannot be converted into repurchase user.</w:t>
            </w:r>
          </w:p>
        </w:tc>
      </w:tr>
    </w:tbl>
    <w:p w14:paraId="76D54A3A">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011875F1">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funnel analysis defines the system requirements of the subsequent stage of the VEE model</w:t>
      </w:r>
      <w:r>
        <w:rPr>
          <w:rFonts w:hint="eastAsia" w:ascii="Times New Roman" w:hAnsi="Times New Roman" w:cs="Times New Roman" w:eastAsiaTheme="minorEastAsia"/>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 design (formulate plans for bottlenecks), implementation (establish mechanisms), verification (A/B test), effect verification (measure GMV improvement).</w:t>
      </w:r>
    </w:p>
    <w:p w14:paraId="3A10F780">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2"/>
          <w:szCs w:val="22"/>
          <w:u w:val="none"/>
          <w:vertAlign w:val="baseline"/>
          <w:lang w:val="en-US" w:eastAsia="zh-CN"/>
        </w:rPr>
      </w:pPr>
    </w:p>
    <w:p w14:paraId="775FC23B">
      <w:pPr>
        <w:pStyle w:val="6"/>
        <w:keepNext w:val="0"/>
        <w:keepLines w:val="0"/>
        <w:widowControl/>
        <w:numPr>
          <w:ilvl w:val="0"/>
          <w:numId w:val="1"/>
        </w:numPr>
        <w:suppressLineNumbers w:val="0"/>
        <w:bidi w:val="0"/>
        <w:spacing w:before="0" w:beforeAutospacing="0" w:after="120" w:afterAutospacing="0" w:line="360" w:lineRule="auto"/>
        <w:jc w:val="both"/>
        <w:rPr>
          <w:rFonts w:hint="default" w:ascii="Times New Roman" w:hAnsi="Times New Roman" w:cs="Times New Roman"/>
          <w:b/>
          <w:bCs/>
          <w:i w:val="0"/>
          <w:iCs w:val="0"/>
          <w:color w:val="1C3F6E"/>
          <w:sz w:val="28"/>
          <w:szCs w:val="28"/>
          <w:u w:val="none"/>
          <w:vertAlign w:val="baseline"/>
          <w:lang w:val="en-US" w:eastAsia="zh-CN"/>
        </w:rPr>
      </w:pPr>
      <w:r>
        <w:rPr>
          <w:rFonts w:hint="default" w:ascii="Times New Roman" w:hAnsi="Times New Roman" w:cs="Times New Roman"/>
          <w:b/>
          <w:bCs/>
          <w:i w:val="0"/>
          <w:iCs w:val="0"/>
          <w:color w:val="1C3F6E"/>
          <w:sz w:val="28"/>
          <w:szCs w:val="28"/>
          <w:u w:val="none"/>
          <w:vertAlign w:val="baseline"/>
        </w:rPr>
        <w:t>Recommendations</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0"/>
        <w:gridCol w:w="8046"/>
      </w:tblGrid>
      <w:tr w14:paraId="5E8F8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172" w:type="dxa"/>
            <w:gridSpan w:val="2"/>
            <w:tcBorders>
              <w:top w:val="single" w:color="C8DCF0" w:sz="4" w:space="0"/>
              <w:left w:val="single" w:color="C8DCF0" w:sz="4" w:space="0"/>
              <w:bottom w:val="single" w:color="C8DCF0" w:sz="4" w:space="0"/>
              <w:right w:val="single" w:color="C8DCF0" w:sz="4" w:space="0"/>
            </w:tcBorders>
            <w:shd w:val="clear" w:color="auto" w:fill="1C3F6E"/>
            <w:tcMar>
              <w:top w:w="80" w:type="dxa"/>
              <w:left w:w="120" w:type="dxa"/>
              <w:bottom w:w="80" w:type="dxa"/>
              <w:right w:w="120" w:type="dxa"/>
            </w:tcMar>
            <w:vAlign w:val="top"/>
          </w:tcPr>
          <w:p w14:paraId="243FE6D1">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01  Dynamic Brand Pool Threshold Mechanism</w:t>
            </w:r>
          </w:p>
        </w:tc>
      </w:tr>
      <w:tr w14:paraId="04481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12E85270">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1C3F6E"/>
                <w:sz w:val="24"/>
                <w:szCs w:val="24"/>
                <w:u w:val="none"/>
                <w:vertAlign w:val="baseline"/>
              </w:rPr>
              <w:t>Rationale</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0A410EBD">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The current model, which uses fixed discount thresholds, requires a uniform discount standard regardless of product type or brand size. This is a structural issue within the B1 cycle. This also leads to reduced product diversity and a decline in overall sales conversion rates.</w:t>
            </w:r>
          </w:p>
        </w:tc>
      </w:tr>
      <w:tr w14:paraId="5182B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799DEF7A">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1C3F6E"/>
                <w:sz w:val="24"/>
                <w:szCs w:val="24"/>
                <w:u w:val="none"/>
                <w:vertAlign w:val="baseline"/>
              </w:rPr>
              <w:t>Resources</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7C6A18D3">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We design flexible discount standards for different product categories and set thresholds to encourage merchants to participate in activities that generate traffic and exposure. The operations team also tiers merchants' eligibility to join the platform based on their past contributions to GMV.</w:t>
            </w:r>
          </w:p>
        </w:tc>
      </w:tr>
      <w:tr w14:paraId="656650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64D71442">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1C3F6E"/>
                <w:sz w:val="24"/>
                <w:szCs w:val="24"/>
                <w:u w:val="none"/>
                <w:vertAlign w:val="baseline"/>
              </w:rPr>
              <w:t>Outcome</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4C45EB03">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Merchant participation is expected to increase by 15-20%</w:t>
            </w:r>
            <w:r>
              <w:rPr>
                <w:rFonts w:hint="eastAsia" w:ascii="Times New Roman" w:hAnsi="Times New Roman" w:cs="Times New Roman"/>
                <w:i w:val="0"/>
                <w:iCs w:val="0"/>
                <w:color w:val="1F1F1F"/>
                <w:kern w:val="0"/>
                <w:sz w:val="24"/>
                <w:szCs w:val="24"/>
                <w:u w:val="none"/>
                <w:vertAlign w:val="baseline"/>
                <w:lang w:val="en-US" w:eastAsia="zh-CN" w:bidi="ar"/>
              </w:rPr>
              <w:t>.</w:t>
            </w:r>
            <w:r>
              <w:rPr>
                <w:rFonts w:hint="default" w:ascii="Times New Roman" w:hAnsi="Times New Roman" w:cs="Times New Roman" w:eastAsiaTheme="minorEastAsia"/>
                <w:i w:val="0"/>
                <w:iCs w:val="0"/>
                <w:color w:val="1F1F1F"/>
                <w:kern w:val="0"/>
                <w:sz w:val="24"/>
                <w:szCs w:val="24"/>
                <w:u w:val="none"/>
                <w:vertAlign w:val="baseline"/>
                <w:lang w:val="en-US" w:eastAsia="zh-CN" w:bidi="ar"/>
              </w:rPr>
              <w:t xml:space="preserve"> B1 operational pressure will ease, and the R1 growth cycle will become the primary system driver.</w:t>
            </w:r>
          </w:p>
        </w:tc>
      </w:tr>
      <w:tr w14:paraId="7A0E0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442769AC">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1C3F6E"/>
                <w:sz w:val="24"/>
                <w:szCs w:val="24"/>
                <w:u w:val="none"/>
                <w:vertAlign w:val="baseline"/>
              </w:rPr>
              <w:t>KPI Target</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5F441553">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Merchant engagement Rate &gt; 85% - Conversion Rate improvement by at least 5 % within 60 days of implementation.</w:t>
            </w:r>
          </w:p>
        </w:tc>
      </w:tr>
    </w:tbl>
    <w:p w14:paraId="42687F7D">
      <w:pPr>
        <w:keepNext w:val="0"/>
        <w:keepLines w:val="0"/>
        <w:widowControl/>
        <w:suppressLineNumbers w:val="0"/>
        <w:spacing w:line="360" w:lineRule="auto"/>
        <w:jc w:val="both"/>
        <w:rPr>
          <w:rFonts w:hint="default" w:ascii="Times New Roman" w:hAnsi="Times New Roman" w:cs="Times New Roman"/>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0"/>
        <w:gridCol w:w="8046"/>
      </w:tblGrid>
      <w:tr w14:paraId="14776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112" w:type="dxa"/>
            <w:gridSpan w:val="2"/>
            <w:tcBorders>
              <w:top w:val="single" w:color="C8DCF0" w:sz="4" w:space="0"/>
              <w:left w:val="single" w:color="C8DCF0" w:sz="4" w:space="0"/>
              <w:bottom w:val="single" w:color="C8DCF0" w:sz="4" w:space="0"/>
              <w:right w:val="single" w:color="C8DCF0" w:sz="4" w:space="0"/>
            </w:tcBorders>
            <w:shd w:val="clear" w:color="auto" w:fill="854F0B"/>
            <w:tcMar>
              <w:top w:w="80" w:type="dxa"/>
              <w:left w:w="120" w:type="dxa"/>
              <w:bottom w:w="80" w:type="dxa"/>
              <w:right w:w="120" w:type="dxa"/>
            </w:tcMar>
            <w:vAlign w:val="top"/>
          </w:tcPr>
          <w:p w14:paraId="5375526D">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02  Real-Time Operations Decision Dashboard</w:t>
            </w:r>
          </w:p>
        </w:tc>
      </w:tr>
      <w:tr w14:paraId="69DC2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4857235A">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854F0B"/>
                <w:sz w:val="24"/>
                <w:szCs w:val="24"/>
                <w:u w:val="none"/>
                <w:vertAlign w:val="baseline"/>
              </w:rPr>
              <w:t>Rationale</w:t>
            </w:r>
          </w:p>
        </w:tc>
        <w:tc>
          <w:tcPr>
            <w:tcW w:w="8072"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341A59CC">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1F1F1F"/>
                <w:sz w:val="24"/>
                <w:szCs w:val="24"/>
                <w:u w:val="none"/>
                <w:vertAlign w:val="baseline"/>
              </w:rPr>
              <w:t>The current data delays (T+1/T+2) lack timely warnings during promotional activities. During peak periods, a two-hour drop in conversion rates went undetected, resulting in GMV losses that could not be recovered after the campaign ended.</w:t>
            </w:r>
          </w:p>
        </w:tc>
      </w:tr>
      <w:tr w14:paraId="07F4E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61D11EDE">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854F0B"/>
                <w:sz w:val="24"/>
                <w:szCs w:val="24"/>
                <w:u w:val="none"/>
                <w:vertAlign w:val="baseline"/>
              </w:rPr>
              <w:t>Resources</w:t>
            </w:r>
          </w:p>
        </w:tc>
        <w:tc>
          <w:tcPr>
            <w:tcW w:w="8072"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19A2555C">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4"/>
                <w:szCs w:val="24"/>
                <w:u w:val="none"/>
                <w:vertAlign w:val="baseline"/>
              </w:rPr>
            </w:pPr>
            <w:r>
              <w:rPr>
                <w:rFonts w:hint="default" w:ascii="Times New Roman" w:hAnsi="Times New Roman" w:cs="Times New Roman"/>
                <w:i w:val="0"/>
                <w:iCs w:val="0"/>
                <w:color w:val="1F1F1F"/>
                <w:sz w:val="24"/>
                <w:szCs w:val="24"/>
                <w:u w:val="none"/>
                <w:vertAlign w:val="baseline"/>
              </w:rPr>
              <w:t>Collaborate with the R&amp;D team to optimize data dashboards. Develop 15-minute real-time dashboards for marketing campaign traffic and sales conversion rates, and integrate them directly into the daily workflow of marketing campaign management.</w:t>
            </w:r>
          </w:p>
        </w:tc>
      </w:tr>
      <w:tr w14:paraId="141C66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0E030D0E">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854F0B"/>
                <w:sz w:val="24"/>
                <w:szCs w:val="24"/>
                <w:u w:val="none"/>
                <w:vertAlign w:val="baseline"/>
              </w:rPr>
              <w:t>Outcome</w:t>
            </w:r>
          </w:p>
        </w:tc>
        <w:tc>
          <w:tcPr>
            <w:tcW w:w="8072"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1EB4FC7E">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sz w:val="24"/>
                <w:szCs w:val="24"/>
              </w:rPr>
            </w:pPr>
            <w:r>
              <w:rPr>
                <w:rFonts w:hint="default" w:ascii="Times New Roman" w:hAnsi="Times New Roman" w:cs="Times New Roman"/>
                <w:i w:val="0"/>
                <w:iCs w:val="0"/>
                <w:color w:val="1F1F1F"/>
                <w:sz w:val="24"/>
                <w:szCs w:val="24"/>
                <w:u w:val="none"/>
                <w:vertAlign w:val="baseline"/>
              </w:rPr>
              <w:t>Anomaly response time has been reduced from several hours to less than 15 minutes. The causes of GMV reductions are promptly investigated and remedial measures are taken quickly.</w:t>
            </w:r>
          </w:p>
        </w:tc>
      </w:tr>
      <w:tr w14:paraId="4BE40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4186B483">
            <w:pPr>
              <w:pStyle w:val="6"/>
              <w:keepNext w:val="0"/>
              <w:keepLines w:val="0"/>
              <w:widowControl/>
              <w:suppressLineNumbers w:val="0"/>
              <w:bidi w:val="0"/>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color w:val="854F0B"/>
                <w:sz w:val="24"/>
                <w:szCs w:val="24"/>
                <w:u w:val="none"/>
                <w:vertAlign w:val="baseline"/>
              </w:rPr>
              <w:t>KPI Target</w:t>
            </w:r>
          </w:p>
        </w:tc>
        <w:tc>
          <w:tcPr>
            <w:tcW w:w="8072"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03D8CCA4">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eastAsia="宋体" w:cs="Times New Roman"/>
                <w:sz w:val="24"/>
                <w:szCs w:val="24"/>
                <w:lang w:val="en-US" w:eastAsia="zh-CN"/>
              </w:rPr>
            </w:pPr>
            <w:r>
              <w:rPr>
                <w:rFonts w:hint="default" w:ascii="Times New Roman" w:hAnsi="Times New Roman" w:cs="Times New Roman"/>
                <w:i w:val="0"/>
                <w:iCs w:val="0"/>
                <w:color w:val="1F1F1F"/>
                <w:sz w:val="24"/>
                <w:szCs w:val="24"/>
                <w:u w:val="none"/>
                <w:vertAlign w:val="baseline"/>
              </w:rPr>
              <w:t>The response time from notification to taking action is less than 15 minutes - during the event, the data dashboard is updated every 5 minutes.</w:t>
            </w:r>
          </w:p>
        </w:tc>
      </w:tr>
    </w:tbl>
    <w:p w14:paraId="65ABEF69">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2"/>
          <w:szCs w:val="22"/>
          <w:u w:val="none"/>
          <w:vertAlign w:val="baseline"/>
          <w:lang w:val="en-US" w:eastAsia="zh-CN"/>
        </w:rPr>
      </w:pP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0"/>
        <w:gridCol w:w="8046"/>
      </w:tblGrid>
      <w:tr w14:paraId="40381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9172" w:type="dxa"/>
            <w:gridSpan w:val="2"/>
            <w:tcBorders>
              <w:top w:val="single" w:color="C8DCF0" w:sz="4" w:space="0"/>
              <w:left w:val="single" w:color="C8DCF0" w:sz="4" w:space="0"/>
              <w:bottom w:val="single" w:color="C8DCF0" w:sz="4" w:space="0"/>
              <w:right w:val="single" w:color="C8DCF0" w:sz="4" w:space="0"/>
            </w:tcBorders>
            <w:shd w:val="clear" w:color="auto" w:fill="0F6E56"/>
            <w:tcMar>
              <w:top w:w="80" w:type="dxa"/>
              <w:left w:w="120" w:type="dxa"/>
              <w:bottom w:w="80" w:type="dxa"/>
              <w:right w:w="120" w:type="dxa"/>
            </w:tcMar>
            <w:vAlign w:val="top"/>
          </w:tcPr>
          <w:p w14:paraId="7EF369D6">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FFFFFF"/>
                <w:sz w:val="24"/>
                <w:szCs w:val="24"/>
                <w:u w:val="none"/>
                <w:vertAlign w:val="baseline"/>
              </w:rPr>
              <w:t>03  Unified Cross-Functional GMV Health Scorecard</w:t>
            </w:r>
          </w:p>
        </w:tc>
      </w:tr>
      <w:tr w14:paraId="6A36A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328F7973">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F6E56"/>
                <w:sz w:val="24"/>
                <w:szCs w:val="24"/>
                <w:u w:val="none"/>
                <w:vertAlign w:val="baseline"/>
              </w:rPr>
              <w:t>Rationale</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26F03C61">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4"/>
                <w:szCs w:val="24"/>
                <w:u w:val="none"/>
                <w:vertAlign w:val="baseline"/>
              </w:rPr>
            </w:pPr>
            <w:r>
              <w:rPr>
                <w:rFonts w:hint="default" w:ascii="Times New Roman" w:hAnsi="Times New Roman" w:cs="Times New Roman"/>
                <w:i w:val="0"/>
                <w:iCs w:val="0"/>
                <w:color w:val="1F1F1F"/>
                <w:sz w:val="24"/>
                <w:szCs w:val="24"/>
                <w:u w:val="none"/>
                <w:vertAlign w:val="baseline"/>
              </w:rPr>
              <w:t>At present, the advertising department and the operation department have optimised their respective performance indicators, which leads to low coordination efficiency and may put forward conflicting requirements for partners of the same brand. This is the structural consequence of KPI fragmentation, not a personnel problem</w:t>
            </w:r>
            <w:r>
              <w:rPr>
                <w:rFonts w:hint="default" w:ascii="Times New Roman" w:hAnsi="Times New Roman" w:cs="Times New Roman"/>
                <w:i w:val="0"/>
                <w:iCs w:val="0"/>
                <w:color w:val="1F1F1F"/>
                <w:sz w:val="24"/>
                <w:szCs w:val="24"/>
                <w:u w:val="none"/>
                <w:vertAlign w:val="baseline"/>
                <w:lang w:val="en-US" w:eastAsia="zh-CN"/>
              </w:rPr>
              <w:t xml:space="preserve"> </w:t>
            </w:r>
            <w:r>
              <w:rPr>
                <w:rFonts w:hint="default" w:ascii="Times New Roman" w:hAnsi="Times New Roman" w:cs="Times New Roman"/>
                <w:i w:val="0"/>
                <w:iCs w:val="0"/>
                <w:color w:val="1F1F1F"/>
                <w:sz w:val="24"/>
                <w:szCs w:val="24"/>
                <w:u w:val="none"/>
                <w:vertAlign w:val="baseline"/>
              </w:rPr>
              <w:t>(Project Management Institute, 2017). This problem can be solved through system-level redesign.</w:t>
            </w:r>
          </w:p>
        </w:tc>
      </w:tr>
      <w:tr w14:paraId="4E760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0CBDC33F">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F6E56"/>
                <w:sz w:val="24"/>
                <w:szCs w:val="24"/>
                <w:u w:val="none"/>
                <w:vertAlign w:val="baseline"/>
              </w:rPr>
              <w:t>Resources</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06D9BA03">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4"/>
                <w:szCs w:val="24"/>
                <w:u w:val="none"/>
                <w:vertAlign w:val="baseline"/>
              </w:rPr>
            </w:pPr>
            <w:r>
              <w:rPr>
                <w:rFonts w:hint="default" w:ascii="Times New Roman" w:hAnsi="Times New Roman" w:cs="Times New Roman"/>
                <w:i w:val="0"/>
                <w:iCs w:val="0"/>
                <w:color w:val="1F1F1F"/>
                <w:sz w:val="24"/>
                <w:szCs w:val="24"/>
                <w:u w:val="none"/>
                <w:vertAlign w:val="baseline"/>
              </w:rPr>
              <w:t>The advertising realisation team and the operation team will jointly design a unified performance evaluation standard. Total products</w:t>
            </w:r>
            <w:r>
              <w:rPr>
                <w:rFonts w:hint="default" w:ascii="Times New Roman" w:hAnsi="Times New Roman" w:cs="Times New Roman"/>
                <w:i w:val="0"/>
                <w:iCs w:val="0"/>
                <w:color w:val="1F1F1F"/>
                <w:sz w:val="24"/>
                <w:szCs w:val="24"/>
                <w:u w:val="none"/>
                <w:vertAlign w:val="baseline"/>
                <w:lang w:val="en-US" w:eastAsia="zh-CN"/>
              </w:rPr>
              <w:t xml:space="preserve"> </w:t>
            </w:r>
            <w:r>
              <w:rPr>
                <w:rFonts w:hint="default" w:ascii="Times New Roman" w:hAnsi="Times New Roman" w:cs="Times New Roman"/>
                <w:i w:val="0"/>
                <w:iCs w:val="0"/>
                <w:color w:val="1F1F1F"/>
                <w:sz w:val="24"/>
                <w:szCs w:val="24"/>
                <w:u w:val="none"/>
                <w:vertAlign w:val="baseline"/>
              </w:rPr>
              <w:t>transactions (GMV), advertising revenue, customer repurchase rate will be regarded as equally important indicators. All performance will be evaluated based on this unified framework, rather than just based on their respective key performance indicators (KPIs).</w:t>
            </w:r>
          </w:p>
        </w:tc>
      </w:tr>
      <w:tr w14:paraId="7AFED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5D5E5114">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F6E56"/>
                <w:sz w:val="24"/>
                <w:szCs w:val="24"/>
                <w:u w:val="none"/>
                <w:vertAlign w:val="baseline"/>
              </w:rPr>
              <w:t>Outcome</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54AB0C37">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4"/>
                <w:szCs w:val="24"/>
                <w:u w:val="none"/>
                <w:vertAlign w:val="baseline"/>
              </w:rPr>
            </w:pPr>
            <w:r>
              <w:rPr>
                <w:rFonts w:hint="default" w:ascii="Times New Roman" w:hAnsi="Times New Roman" w:cs="Times New Roman"/>
                <w:i w:val="0"/>
                <w:iCs w:val="0"/>
                <w:color w:val="1F1F1F"/>
                <w:sz w:val="24"/>
                <w:szCs w:val="24"/>
                <w:u w:val="none"/>
                <w:vertAlign w:val="baseline"/>
              </w:rPr>
              <w:t>Brand advertising and promotional activities will no longer conflict or compete with each other, but complement each other and develop together.</w:t>
            </w:r>
          </w:p>
        </w:tc>
      </w:tr>
      <w:tr w14:paraId="24F9A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C8DCF0" w:sz="4" w:space="0"/>
              <w:left w:val="single" w:color="C8DCF0" w:sz="4" w:space="0"/>
              <w:bottom w:val="single" w:color="C8DCF0" w:sz="4" w:space="0"/>
              <w:right w:val="single" w:color="C8DCF0" w:sz="4" w:space="0"/>
            </w:tcBorders>
            <w:shd w:val="clear" w:color="auto" w:fill="F0F6FF"/>
            <w:tcMar>
              <w:top w:w="60" w:type="dxa"/>
              <w:left w:w="100" w:type="dxa"/>
              <w:bottom w:w="60" w:type="dxa"/>
              <w:right w:w="80" w:type="dxa"/>
            </w:tcMar>
            <w:vAlign w:val="top"/>
          </w:tcPr>
          <w:p w14:paraId="7ACCB692">
            <w:pPr>
              <w:pStyle w:val="6"/>
              <w:keepNext w:val="0"/>
              <w:keepLines w:val="0"/>
              <w:widowControl/>
              <w:suppressLineNumbers w:val="0"/>
              <w:bidi w:val="0"/>
              <w:spacing w:before="0" w:beforeAutospacing="0" w:after="0" w:afterAutospacing="0"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color w:val="0F6E56"/>
                <w:sz w:val="24"/>
                <w:szCs w:val="24"/>
                <w:u w:val="none"/>
                <w:vertAlign w:val="baseline"/>
              </w:rPr>
              <w:t>KPI Target</w:t>
            </w:r>
          </w:p>
        </w:tc>
        <w:tc>
          <w:tcPr>
            <w:tcW w:w="8144" w:type="dxa"/>
            <w:tcBorders>
              <w:top w:val="single" w:color="C8DCF0" w:sz="4" w:space="0"/>
              <w:left w:val="single" w:color="C8DCF0" w:sz="4" w:space="0"/>
              <w:bottom w:val="single" w:color="C8DCF0" w:sz="4" w:space="0"/>
              <w:right w:val="single" w:color="C8DCF0" w:sz="4" w:space="0"/>
            </w:tcBorders>
            <w:shd w:val="clear" w:color="auto" w:fill="auto"/>
            <w:tcMar>
              <w:top w:w="60" w:type="dxa"/>
              <w:left w:w="100" w:type="dxa"/>
              <w:bottom w:w="60" w:type="dxa"/>
              <w:right w:w="100" w:type="dxa"/>
            </w:tcMar>
            <w:vAlign w:val="top"/>
          </w:tcPr>
          <w:p w14:paraId="1384D4B2">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i w:val="0"/>
                <w:iCs w:val="0"/>
                <w:color w:val="1F1F1F"/>
                <w:sz w:val="24"/>
                <w:szCs w:val="24"/>
                <w:u w:val="none"/>
                <w:vertAlign w:val="baseline"/>
                <w:lang w:val="en-US" w:eastAsia="zh-CN"/>
              </w:rPr>
            </w:pPr>
            <w:r>
              <w:rPr>
                <w:rFonts w:hint="default" w:ascii="Times New Roman" w:hAnsi="Times New Roman" w:cs="Times New Roman"/>
                <w:i w:val="0"/>
                <w:iCs w:val="0"/>
                <w:color w:val="1F1F1F"/>
                <w:sz w:val="24"/>
                <w:szCs w:val="24"/>
                <w:u w:val="none"/>
                <w:vertAlign w:val="baseline"/>
              </w:rPr>
              <w:t>Cross-functional scorecards were fully adopted; brand partner satisfaction improved within two quarters.</w:t>
            </w:r>
          </w:p>
        </w:tc>
      </w:tr>
    </w:tbl>
    <w:p w14:paraId="7940C1B6">
      <w:pPr>
        <w:keepNext w:val="0"/>
        <w:keepLines w:val="0"/>
        <w:widowControl/>
        <w:suppressLineNumbers w:val="0"/>
        <w:spacing w:line="360" w:lineRule="auto"/>
        <w:jc w:val="both"/>
        <w:rPr>
          <w:rFonts w:hint="default" w:ascii="Times New Roman" w:hAnsi="Times New Roman" w:cs="Times New Roman"/>
        </w:rPr>
      </w:pPr>
    </w:p>
    <w:p w14:paraId="164D85F3">
      <w:pPr>
        <w:pStyle w:val="2"/>
        <w:keepNext w:val="0"/>
        <w:keepLines w:val="0"/>
        <w:widowControl/>
        <w:suppressLineNumbers w:val="0"/>
        <w:pBdr>
          <w:top w:val="none" w:color="auto" w:sz="0" w:space="0"/>
          <w:left w:val="none" w:color="auto" w:sz="0" w:space="0"/>
          <w:bottom w:val="single" w:color="2E75B6" w:sz="8" w:space="1"/>
          <w:right w:val="none" w:color="auto" w:sz="0" w:space="0"/>
        </w:pBdr>
        <w:bidi w:val="0"/>
        <w:spacing w:before="320" w:beforeAutospacing="0" w:after="10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1C3F6E"/>
          <w:sz w:val="28"/>
          <w:szCs w:val="28"/>
          <w:u w:val="none"/>
          <w:vertAlign w:val="baseline"/>
        </w:rPr>
        <w:t>4. Critical Reflection</w:t>
      </w:r>
    </w:p>
    <w:p w14:paraId="487ABE1B">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r>
        <w:rPr>
          <w:rFonts w:hint="default" w:ascii="Times New Roman" w:hAnsi="Times New Roman" w:cs="Times New Roman" w:eastAsiaTheme="minorEastAsia"/>
          <w:i w:val="0"/>
          <w:iCs w:val="0"/>
          <w:color w:val="1F1F1F"/>
          <w:kern w:val="0"/>
          <w:sz w:val="24"/>
          <w:szCs w:val="24"/>
          <w:u w:val="none"/>
          <w:vertAlign w:val="baseline"/>
          <w:lang w:val="en-US" w:eastAsia="zh-CN" w:bidi="ar"/>
        </w:rPr>
        <w:t>Three limitations of this analysis will affect the practical application of the conclusions.</w:t>
      </w:r>
    </w:p>
    <w:p w14:paraId="4E15509B">
      <w:pPr>
        <w:keepNext w:val="0"/>
        <w:keepLines w:val="0"/>
        <w:widowControl/>
        <w:suppressLineNumbers w:val="0"/>
        <w:spacing w:line="360" w:lineRule="auto"/>
        <w:jc w:val="both"/>
        <w:rPr>
          <w:rFonts w:hint="default" w:ascii="Times New Roman" w:hAnsi="Times New Roman" w:cs="Times New Roman" w:eastAsiaTheme="minorEastAsia"/>
          <w:i w:val="0"/>
          <w:iCs w:val="0"/>
          <w:color w:val="1F1F1F"/>
          <w:kern w:val="0"/>
          <w:sz w:val="24"/>
          <w:szCs w:val="24"/>
          <w:u w:val="none"/>
          <w:vertAlign w:val="baseline"/>
          <w:lang w:val="en-US" w:eastAsia="zh-CN" w:bidi="ar"/>
        </w:rPr>
      </w:pPr>
    </w:p>
    <w:p w14:paraId="5E15D74D">
      <w:pPr>
        <w:keepNext w:val="0"/>
        <w:keepLines w:val="0"/>
        <w:widowControl/>
        <w:suppressLineNumbers w:val="0"/>
        <w:spacing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First,</w:t>
      </w:r>
      <w:r>
        <w:rPr>
          <w:rFonts w:hint="default" w:ascii="Times New Roman" w:hAnsi="Times New Roman" w:cs="Times New Roman"/>
          <w:b w:val="0"/>
          <w:bCs w:val="0"/>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from the platform's perspective, Philippine consumers have unique socio-cultural customs.</w:t>
      </w:r>
      <w:r>
        <w:rPr>
          <w:rFonts w:hint="eastAsia" w:ascii="Times New Roman" w:hAnsi="Times New Roman" w:cs="Times New Roman"/>
          <w:b w:val="0"/>
          <w:bCs w:val="0"/>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Future challenges include integrating consumer data and market research. Accurately meeting consumer needs is</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 xml:space="preserve"> crucial (Meadows, 2015).</w:t>
      </w:r>
    </w:p>
    <w:p w14:paraId="406AC2FF">
      <w:pPr>
        <w:keepNext w:val="0"/>
        <w:keepLines w:val="0"/>
        <w:widowControl/>
        <w:suppressLineNumbers w:val="0"/>
        <w:spacing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p>
    <w:p w14:paraId="63806F36">
      <w:pPr>
        <w:pStyle w:val="6"/>
        <w:keepNext w:val="0"/>
        <w:keepLines w:val="0"/>
        <w:widowControl/>
        <w:suppressLineNumbers w:val="0"/>
        <w:bidi w:val="0"/>
        <w:spacing w:before="0" w:beforeAutospacing="0" w:after="120" w:afterAutospacing="0"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Second, the analysis of R1 and B1 is still in the definition stage. If tools such as Vensim or AnyLogic are used to accurately obtain</w:t>
      </w:r>
      <w:r>
        <w:rPr>
          <w:rFonts w:hint="default" w:ascii="Times New Roman" w:hAnsi="Times New Roman" w:cs="Times New Roman"/>
          <w:b w:val="0"/>
          <w:bCs w:val="0"/>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inventory and traffic data, the thresholds and parameters can be precisely adjusted</w:t>
      </w:r>
      <w:r>
        <w:rPr>
          <w:rFonts w:hint="eastAsia" w:ascii="Times New Roman" w:hAnsi="Times New Roman" w:cs="Times New Roman"/>
          <w:b w:val="0"/>
          <w:bCs w:val="0"/>
          <w:i w:val="0"/>
          <w:iCs w:val="0"/>
          <w:color w:val="1F1F1F"/>
          <w:kern w:val="0"/>
          <w:sz w:val="24"/>
          <w:szCs w:val="24"/>
          <w:u w:val="none"/>
          <w:vertAlign w:val="baseline"/>
          <w:lang w:val="en-US" w:eastAsia="zh-CN" w:bidi="ar"/>
        </w:rPr>
        <w:t xml:space="preserve">. </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 xml:space="preserve">In the absence of an accurate data base, even </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if the strategic action recommendations are correct, the required accuracy cannot be achieved</w:t>
      </w:r>
      <w:r>
        <w:rPr>
          <w:rFonts w:hint="eastAsia" w:ascii="Times New Roman" w:hAnsi="Times New Roman" w:cs="Times New Roman"/>
          <w:b w:val="0"/>
          <w:bCs w:val="0"/>
          <w:i w:val="0"/>
          <w:iCs w:val="0"/>
          <w:color w:val="1F1F1F"/>
          <w:kern w:val="0"/>
          <w:sz w:val="24"/>
          <w:szCs w:val="24"/>
          <w:u w:val="none"/>
          <w:vertAlign w:val="baseline"/>
          <w:lang w:val="en-US" w:eastAsia="zh-CN" w:bidi="ar"/>
        </w:rPr>
        <w:t>.</w:t>
      </w:r>
    </w:p>
    <w:p w14:paraId="5A8B45D4">
      <w:pPr>
        <w:keepNext w:val="0"/>
        <w:keepLines w:val="0"/>
        <w:widowControl/>
        <w:suppressLineNumbers w:val="0"/>
        <w:spacing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p>
    <w:p w14:paraId="54278B46">
      <w:pPr>
        <w:keepNext w:val="0"/>
        <w:keepLines w:val="0"/>
        <w:widowControl/>
        <w:suppressLineNumbers w:val="0"/>
        <w:spacing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 xml:space="preserve">Thirdly, and most importantly, the organisational structure determines the performance of the system. </w:t>
      </w:r>
      <w:r>
        <w:rPr>
          <w:rFonts w:hint="eastAsia" w:ascii="Times New Roman" w:hAnsi="Times New Roman" w:cs="Times New Roman"/>
          <w:b w:val="0"/>
          <w:bCs w:val="0"/>
          <w:i w:val="0"/>
          <w:iCs w:val="0"/>
          <w:color w:val="1F1F1F"/>
          <w:kern w:val="0"/>
          <w:sz w:val="24"/>
          <w:szCs w:val="24"/>
          <w:u w:val="none"/>
          <w:vertAlign w:val="baseline"/>
          <w:lang w:val="en-US" w:eastAsia="zh-CN" w:bidi="ar"/>
        </w:rPr>
        <w:t>T</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he root of the problem lies in the redesign and optimisation of the team incentive mechanism. Although this transformation requires more time and effort, it is the right path to ensure that the entire system achieves sustainable development.</w:t>
      </w:r>
    </w:p>
    <w:p w14:paraId="12227379">
      <w:pPr>
        <w:keepNext w:val="0"/>
        <w:keepLines w:val="0"/>
        <w:widowControl/>
        <w:suppressLineNumbers w:val="0"/>
        <w:spacing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p>
    <w:p w14:paraId="38CD3FEA">
      <w:pPr>
        <w:pStyle w:val="2"/>
        <w:keepNext w:val="0"/>
        <w:keepLines w:val="0"/>
        <w:widowControl/>
        <w:suppressLineNumbers w:val="0"/>
        <w:pBdr>
          <w:top w:val="none" w:color="auto" w:sz="0" w:space="0"/>
          <w:left w:val="none" w:color="auto" w:sz="0" w:space="0"/>
          <w:bottom w:val="single" w:color="2E75B6" w:sz="8" w:space="1"/>
          <w:right w:val="none" w:color="auto" w:sz="0" w:space="0"/>
        </w:pBdr>
        <w:bidi w:val="0"/>
        <w:spacing w:before="320" w:beforeAutospacing="0" w:after="100" w:afterAutospacing="0" w:line="360" w:lineRule="auto"/>
        <w:jc w:val="both"/>
        <w:rPr>
          <w:rFonts w:hint="default" w:ascii="Times New Roman" w:hAnsi="Times New Roman" w:cs="Times New Roman"/>
        </w:rPr>
      </w:pPr>
      <w:r>
        <w:rPr>
          <w:rFonts w:hint="default" w:ascii="Times New Roman" w:hAnsi="Times New Roman" w:cs="Times New Roman"/>
          <w:b/>
          <w:bCs/>
          <w:i w:val="0"/>
          <w:iCs w:val="0"/>
          <w:color w:val="1C3F6E"/>
          <w:sz w:val="28"/>
          <w:szCs w:val="28"/>
          <w:u w:val="none"/>
          <w:vertAlign w:val="baseline"/>
        </w:rPr>
        <w:t>References</w:t>
      </w:r>
    </w:p>
    <w:p w14:paraId="0523AD53">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Blanchard, B. S., &amp; Blyler, J.</w:t>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E. (2016). </w:t>
      </w:r>
      <w:r>
        <w:rPr>
          <w:rStyle w:val="10"/>
          <w:rFonts w:hint="default" w:ascii="Times New Roman" w:hAnsi="Times New Roman" w:cs="Times New Roman"/>
          <w:sz w:val="24"/>
          <w:szCs w:val="24"/>
        </w:rPr>
        <w:t>Systems engineering management</w:t>
      </w:r>
      <w:r>
        <w:rPr>
          <w:rFonts w:hint="default" w:ascii="Times New Roman" w:hAnsi="Times New Roman" w:cs="Times New Roman"/>
          <w:sz w:val="24"/>
          <w:szCs w:val="24"/>
        </w:rPr>
        <w:t xml:space="preserve"> </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(5th ed.). John Wiley &amp; Sons.</w:t>
      </w:r>
    </w:p>
    <w:p w14:paraId="699781FE">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Hitchins, D. K. (2007). </w:t>
      </w:r>
      <w:r>
        <w:rPr>
          <w:rStyle w:val="10"/>
          <w:rFonts w:hint="default" w:ascii="Times New Roman" w:hAnsi="Times New Roman" w:cs="Times New Roman"/>
          <w:sz w:val="24"/>
          <w:szCs w:val="24"/>
        </w:rPr>
        <w:t>Systems engineering: A 21st century systems methodology</w:t>
      </w:r>
      <w:r>
        <w:rPr>
          <w:rFonts w:hint="default" w:ascii="Times New Roman" w:hAnsi="Times New Roman" w:cs="Times New Roman"/>
          <w:sz w:val="24"/>
          <w:szCs w:val="24"/>
        </w:rPr>
        <w:t>. John Wiley &amp; Sons.</w:t>
      </w:r>
    </w:p>
    <w:p w14:paraId="7567CC7D">
      <w:pPr>
        <w:pStyle w:val="6"/>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Meadows, D. H. (2015). </w:t>
      </w:r>
      <w:r>
        <w:rPr>
          <w:rStyle w:val="10"/>
          <w:rFonts w:hint="default" w:ascii="Times New Roman" w:hAnsi="Times New Roman" w:cs="Times New Roman"/>
          <w:sz w:val="24"/>
          <w:szCs w:val="24"/>
        </w:rPr>
        <w:t>Thinking in systems: A primer</w:t>
      </w:r>
      <w:r>
        <w:rPr>
          <w:rFonts w:hint="default" w:ascii="Times New Roman" w:hAnsi="Times New Roman" w:cs="Times New Roman"/>
          <w:sz w:val="24"/>
          <w:szCs w:val="24"/>
        </w:rPr>
        <w:t>. Chelsea Green Publishing.</w:t>
      </w:r>
    </w:p>
    <w:p w14:paraId="03534BC0">
      <w:pPr>
        <w:pStyle w:val="6"/>
        <w:keepNext w:val="0"/>
        <w:keepLines w:val="0"/>
        <w:widowControl/>
        <w:suppressLineNumbers w:val="0"/>
        <w:spacing w:line="360" w:lineRule="auto"/>
        <w:jc w:val="both"/>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pPr>
      <w:r>
        <w:rPr>
          <w:rFonts w:hint="default" w:ascii="Times New Roman" w:hAnsi="Times New Roman" w:cs="Times New Roman"/>
          <w:sz w:val="24"/>
          <w:szCs w:val="24"/>
        </w:rPr>
        <w:t xml:space="preserve">Project Management Institute. (2017). </w:t>
      </w:r>
      <w:r>
        <w:rPr>
          <w:rStyle w:val="10"/>
          <w:rFonts w:hint="default" w:ascii="Times New Roman" w:hAnsi="Times New Roman" w:cs="Times New Roman"/>
          <w:sz w:val="24"/>
          <w:szCs w:val="24"/>
        </w:rPr>
        <w:t>A guide to the project management body of knowledge (PMBOK® gui</w:t>
      </w: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de) (6th ed.). PMI.</w:t>
      </w:r>
    </w:p>
    <w:p w14:paraId="3E23055D">
      <w:pPr>
        <w:pStyle w:val="6"/>
        <w:keepNext w:val="0"/>
        <w:keepLines w:val="0"/>
        <w:widowControl/>
        <w:suppressLineNumbers w:val="0"/>
        <w:spacing w:line="360" w:lineRule="auto"/>
        <w:jc w:val="both"/>
        <w:rPr>
          <w:rFonts w:hint="default" w:ascii="Times New Roman" w:hAnsi="Times New Roman" w:cs="Times New Roman"/>
          <w:i w:val="0"/>
          <w:iCs w:val="0"/>
          <w:color w:val="1F1F1F"/>
          <w:sz w:val="24"/>
          <w:szCs w:val="24"/>
          <w:u w:val="none"/>
          <w:vertAlign w:val="baseline"/>
          <w:lang w:val="en-US" w:eastAsia="zh-CN"/>
        </w:rPr>
      </w:pPr>
      <w:r>
        <w:rPr>
          <w:rFonts w:hint="default" w:ascii="Times New Roman" w:hAnsi="Times New Roman" w:cs="Times New Roman" w:eastAsiaTheme="minorEastAsia"/>
          <w:b w:val="0"/>
          <w:bCs w:val="0"/>
          <w:i w:val="0"/>
          <w:iCs w:val="0"/>
          <w:color w:val="1F1F1F"/>
          <w:kern w:val="0"/>
          <w:sz w:val="24"/>
          <w:szCs w:val="24"/>
          <w:u w:val="none"/>
          <w:vertAlign w:val="baseline"/>
          <w:lang w:val="en-US" w:eastAsia="zh-CN" w:bidi="ar"/>
        </w:rPr>
        <w:t>Sterman, J. D. (20</w:t>
      </w:r>
      <w:r>
        <w:rPr>
          <w:rFonts w:hint="default" w:ascii="Times New Roman" w:hAnsi="Times New Roman" w:cs="Times New Roman"/>
          <w:sz w:val="24"/>
          <w:szCs w:val="24"/>
        </w:rPr>
        <w:t xml:space="preserve">00). </w:t>
      </w:r>
      <w:r>
        <w:rPr>
          <w:rStyle w:val="10"/>
          <w:rFonts w:hint="default" w:ascii="Times New Roman" w:hAnsi="Times New Roman" w:cs="Times New Roman"/>
          <w:sz w:val="24"/>
          <w:szCs w:val="24"/>
        </w:rPr>
        <w:t>Business dynamics: Systems thinking and modeling for a complex world</w:t>
      </w:r>
      <w:r>
        <w:rPr>
          <w:rFonts w:hint="default" w:ascii="Times New Roman" w:hAnsi="Times New Roman" w:cs="Times New Roman"/>
          <w:sz w:val="24"/>
          <w:szCs w:val="24"/>
        </w:rPr>
        <w:t>. McGraw-Hill.</w:t>
      </w:r>
    </w:p>
    <w:sectPr>
      <w:headerReference r:id="rId3" w:type="default"/>
      <w:footerReference r:id="rId4" w:type="default"/>
      <w:pgSz w:w="11906" w:h="16838"/>
      <w:pgMar w:top="1440" w:right="1440" w:bottom="1440" w:left="1440" w:header="851" w:footer="992" w:gutter="0"/>
      <w:paperSrc/>
      <w:pgNumType w:fmt="numberInDash"/>
      <w:cols w:space="0" w:num="1"/>
      <w:rtlGutter w:val="0"/>
      <w:docGrid w:type="lines" w:linePitch="31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A8404">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3B85526">
                          <w:pPr>
                            <w:pStyle w:val="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3B85526">
                    <w:pPr>
                      <w:pStyle w:val="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D8EC1">
    <w:pPr>
      <w:pStyle w:val="6"/>
      <w:keepNext w:val="0"/>
      <w:keepLines w:val="0"/>
      <w:widowControl/>
      <w:suppressLineNumbers w:val="0"/>
      <w:pBdr>
        <w:top w:val="none" w:color="auto" w:sz="0" w:space="0"/>
        <w:left w:val="none" w:color="auto" w:sz="0" w:space="0"/>
        <w:bottom w:val="single" w:color="2E75B6" w:sz="4" w:space="1"/>
        <w:right w:val="none" w:color="auto" w:sz="0" w:space="0"/>
      </w:pBdr>
      <w:bidi w:val="0"/>
      <w:spacing w:before="0" w:beforeAutospacing="0" w:after="80" w:afterAutospacing="0" w:line="12" w:lineRule="atLeast"/>
    </w:pPr>
    <w:r>
      <w:rPr>
        <w:rFonts w:ascii="Calibri" w:hAnsi="Calibri" w:cs="Calibri"/>
        <w:i w:val="0"/>
        <w:iCs w:val="0"/>
        <w:color w:val="888888"/>
        <w:sz w:val="17"/>
        <w:szCs w:val="17"/>
        <w:u w:val="none"/>
        <w:vertAlign w:val="baseline"/>
      </w:rPr>
      <w:t>MA6086 Systems Engineering Fundamentals  |   Li Jiaruinan  G2510901B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CC21A4"/>
    <w:multiLevelType w:val="singleLevel"/>
    <w:tmpl w:val="BDCC21A4"/>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9"/>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64D24"/>
    <w:rsid w:val="01203FAE"/>
    <w:rsid w:val="12F64D28"/>
    <w:rsid w:val="25B3555F"/>
    <w:rsid w:val="2A764D24"/>
    <w:rsid w:val="3DBA1008"/>
    <w:rsid w:val="41401527"/>
    <w:rsid w:val="613D2F35"/>
    <w:rsid w:val="72FC4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eastAsia="黑体" w:asciiTheme="minorAscii" w:hAnsiTheme="minorAscii"/>
      <w:b/>
      <w:kern w:val="44"/>
      <w:sz w:val="32"/>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1933</Words>
  <Characters>11158</Characters>
  <Lines>0</Lines>
  <Paragraphs>0</Paragraphs>
  <TotalTime>72</TotalTime>
  <ScaleCrop>false</ScaleCrop>
  <LinksUpToDate>false</LinksUpToDate>
  <CharactersWithSpaces>13000</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2026-04-03T05:54:00Z</dcterms:created>
  <dc:creator>囡</dc:creator>
  <cp:lastModifiedBy>囡</cp:lastModifiedBy>
  <dcterms:modified xsi:type="dcterms:W3CDTF">2026-04-03T09:49:43Z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68368B51B5124EAD8DA2010FDEED0C31_11</vt:lpwstr>
  </property>
  <property fmtid="{D5CDD505-2E9C-101B-9397-08002B2CF9AE}" pid="4" name="KSOTemplateDocerSaveRecord">
    <vt:lpwstr>eyJoZGlkIjoiODViY2JkMjU3NGYzZTEwMzZmMGFkZWViYmNkYWU3NDIiLCJ1c2VySWQiOiI0NDM2MDkwODIifQ==</vt:lpwstr>
  </property>
</Properties>
</file>