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等离子体柱Model</w:t>
      </w:r>
    </w:p>
    <w:p>
      <w:pPr>
        <w:pStyle w:val="4"/>
      </w:pPr>
      <w:r>
        <w:rPr>
          <w:rFonts w:hint="eastAsia"/>
        </w:rPr>
        <w:t>标准圆柱型Model</w:t>
      </w:r>
    </w:p>
    <w:p>
      <w:pPr>
        <w:rPr>
          <w:sz w:val="28"/>
          <w:szCs w:val="28"/>
        </w:rPr>
      </w:pPr>
      <w:r>
        <w:rPr>
          <w:sz w:val="28"/>
          <w:szCs w:val="28"/>
        </w:rPr>
        <w:t>目的</w:t>
      </w:r>
      <w:r>
        <w:rPr>
          <w:rFonts w:hint="eastAsia"/>
          <w:sz w:val="28"/>
          <w:szCs w:val="28"/>
        </w:rPr>
        <w:t>：将火工品爆轰产生的等离子体流场抽象为圆柱，基于菲涅尔原理，将其抽象为凹透镜，并计算获得焦距。</w:t>
      </w:r>
    </w:p>
    <w:p>
      <w:pPr>
        <w:spacing w:line="360" w:lineRule="auto"/>
        <w:jc w:val="center"/>
        <w:rPr>
          <w:sz w:val="28"/>
          <w:szCs w:val="28"/>
        </w:rPr>
      </w:pPr>
      <w:r>
        <w:object>
          <v:shape id="_x0000_i1025" o:spt="75" type="#_x0000_t75" style="height:292.45pt;width:415.3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spacing w:line="360" w:lineRule="auto"/>
        <w:jc w:val="center"/>
        <w:rPr>
          <w:sz w:val="24"/>
          <w:szCs w:val="24"/>
        </w:rPr>
      </w:pPr>
      <w:r>
        <w:rPr>
          <w:sz w:val="24"/>
          <w:szCs w:val="24"/>
        </w:rPr>
        <w:t>图</w:t>
      </w:r>
      <w:r>
        <w:rPr>
          <w:rFonts w:hint="eastAsia"/>
          <w:sz w:val="24"/>
          <w:szCs w:val="24"/>
        </w:rPr>
        <w:t>1 火工品爆轰等离子体柱状图</w:t>
      </w:r>
    </w:p>
    <w:p>
      <w:pPr>
        <w:spacing w:line="360" w:lineRule="auto"/>
        <w:ind w:firstLine="420"/>
        <w:rPr>
          <w:sz w:val="28"/>
          <w:szCs w:val="28"/>
        </w:rPr>
      </w:pPr>
      <w:r>
        <w:rPr>
          <w:rFonts w:hint="eastAsia"/>
          <w:sz w:val="28"/>
          <w:szCs w:val="28"/>
        </w:rPr>
        <w:t>假设火工品爆轰产生的等离子体柱水平切面等离子体是对称的圆形，并且切面内部是均匀折射率。此时等离子体柱可以等效为近轴近似的透镜。</w:t>
      </w:r>
    </w:p>
    <w:p>
      <w:pPr>
        <w:spacing w:line="360" w:lineRule="auto"/>
        <w:ind w:firstLine="420"/>
        <w:rPr>
          <w:sz w:val="28"/>
          <w:szCs w:val="28"/>
        </w:rPr>
      </w:pPr>
      <w:r>
        <w:rPr>
          <w:rFonts w:hint="eastAsia"/>
          <w:sz w:val="28"/>
          <w:szCs w:val="28"/>
        </w:rPr>
        <w:t>假设在光线进入等离子体柱的入射角度</w:t>
      </w:r>
      <w:r>
        <w:rPr>
          <w:rFonts w:hint="eastAsia" w:asciiTheme="minorEastAsia" w:hAnsiTheme="minorEastAsia"/>
          <w:i/>
          <w:sz w:val="28"/>
          <w:szCs w:val="28"/>
        </w:rPr>
        <w:t>α</w:t>
      </w:r>
      <w:r>
        <w:rPr>
          <w:rFonts w:hint="eastAsia"/>
          <w:sz w:val="28"/>
          <w:szCs w:val="28"/>
        </w:rPr>
        <w:t>和出射角度</w:t>
      </w:r>
      <w:r>
        <w:rPr>
          <w:rFonts w:hint="eastAsia" w:asciiTheme="minorEastAsia" w:hAnsiTheme="minorEastAsia"/>
          <w:i/>
          <w:sz w:val="28"/>
          <w:szCs w:val="28"/>
        </w:rPr>
        <w:t>β</w:t>
      </w:r>
      <w:r>
        <w:rPr>
          <w:rFonts w:hint="eastAsia"/>
          <w:sz w:val="28"/>
          <w:szCs w:val="28"/>
        </w:rPr>
        <w:t>很小，根据折射定律：折射介质折射率与折射角正弦之积等于入射介质折射率与入射角正弦之积。得到:</w:t>
      </w:r>
    </w:p>
    <w:p>
      <w:pPr>
        <w:spacing w:line="360" w:lineRule="auto"/>
        <w:jc w:val="center"/>
      </w:pPr>
      <w:r>
        <w:rPr>
          <w:position w:val="-14"/>
        </w:rPr>
        <w:object>
          <v:shape id="_x0000_i1026" o:spt="75" type="#_x0000_t75" style="height:19.8pt;width:173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spacing w:line="360" w:lineRule="auto"/>
        <w:ind w:firstLine="420"/>
        <w:rPr>
          <w:sz w:val="28"/>
          <w:szCs w:val="28"/>
        </w:rPr>
      </w:pPr>
      <w:r>
        <w:rPr>
          <w:sz w:val="28"/>
          <w:szCs w:val="28"/>
        </w:rPr>
        <w:t>也即</w:t>
      </w:r>
      <w:r>
        <w:rPr>
          <w:rFonts w:hint="eastAsia"/>
          <w:sz w:val="28"/>
          <w:szCs w:val="28"/>
        </w:rPr>
        <w:t>：</w:t>
      </w:r>
    </w:p>
    <w:p>
      <w:pPr>
        <w:spacing w:line="360" w:lineRule="auto"/>
        <w:jc w:val="center"/>
        <w:rPr>
          <w:sz w:val="28"/>
          <w:szCs w:val="28"/>
        </w:rPr>
      </w:pPr>
      <w:r>
        <w:rPr>
          <w:position w:val="-14"/>
        </w:rPr>
        <w:object>
          <v:shape id="_x0000_i1027" o:spt="75" type="#_x0000_t75" style="height:19.8pt;width:121.1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pPr>
        <w:spacing w:line="360" w:lineRule="auto"/>
        <w:ind w:firstLine="420"/>
        <w:rPr>
          <w:sz w:val="28"/>
          <w:szCs w:val="28"/>
        </w:rPr>
      </w:pPr>
      <w:r>
        <w:rPr>
          <w:sz w:val="28"/>
          <w:szCs w:val="28"/>
        </w:rPr>
        <w:t>其中</w:t>
      </w:r>
      <w:r>
        <w:rPr>
          <w:rFonts w:hint="eastAsia"/>
          <w:sz w:val="28"/>
          <w:szCs w:val="28"/>
        </w:rPr>
        <w:t>，</w:t>
      </w:r>
      <w:r>
        <w:rPr>
          <w:rFonts w:hint="eastAsia" w:asciiTheme="minorEastAsia" w:hAnsiTheme="minorEastAsia"/>
          <w:i/>
          <w:sz w:val="28"/>
          <w:szCs w:val="28"/>
        </w:rPr>
        <w:t>α</w:t>
      </w:r>
      <w:r>
        <w:rPr>
          <w:sz w:val="28"/>
          <w:szCs w:val="28"/>
        </w:rPr>
        <w:t>为与光轴平行的光线入射等离子柱的入射角</w:t>
      </w:r>
      <w:r>
        <w:rPr>
          <w:rFonts w:hint="eastAsia"/>
          <w:sz w:val="28"/>
          <w:szCs w:val="28"/>
        </w:rPr>
        <w:t>，</w:t>
      </w:r>
      <w:r>
        <w:rPr>
          <w:rFonts w:hint="eastAsia" w:asciiTheme="minorEastAsia" w:hAnsiTheme="minorEastAsia"/>
          <w:i/>
          <w:sz w:val="28"/>
          <w:szCs w:val="28"/>
        </w:rPr>
        <w:t>β</w:t>
      </w:r>
      <w:r>
        <w:rPr>
          <w:sz w:val="28"/>
          <w:szCs w:val="28"/>
        </w:rPr>
        <w:t>为对应的出射角</w:t>
      </w:r>
      <w:r>
        <w:rPr>
          <w:rFonts w:hint="eastAsia"/>
          <w:sz w:val="28"/>
          <w:szCs w:val="28"/>
        </w:rPr>
        <w:t>，</w:t>
      </w:r>
      <w:r>
        <w:rPr>
          <w:i/>
          <w:sz w:val="28"/>
          <w:szCs w:val="28"/>
        </w:rPr>
        <w:t>n</w:t>
      </w:r>
      <w:r>
        <w:rPr>
          <w:sz w:val="28"/>
          <w:szCs w:val="28"/>
        </w:rPr>
        <w:t>(air)为爆轰环境中空气的折射率</w:t>
      </w:r>
      <w:r>
        <w:rPr>
          <w:rFonts w:hint="eastAsia"/>
          <w:sz w:val="28"/>
          <w:szCs w:val="28"/>
        </w:rPr>
        <w:t>，</w:t>
      </w:r>
      <w:r>
        <w:rPr>
          <w:i/>
          <w:sz w:val="28"/>
          <w:szCs w:val="28"/>
        </w:rPr>
        <w:t>n</w:t>
      </w:r>
      <w:r>
        <w:rPr>
          <w:sz w:val="28"/>
          <w:szCs w:val="28"/>
        </w:rPr>
        <w:t>(plasma)为火工品爆轰产生的离子体的折射率</w:t>
      </w:r>
      <w:r>
        <w:rPr>
          <w:rFonts w:hint="eastAsia"/>
          <w:sz w:val="28"/>
          <w:szCs w:val="28"/>
        </w:rPr>
        <w:t>，其中</w:t>
      </w:r>
      <w:r>
        <w:rPr>
          <w:rFonts w:hint="eastAsia"/>
          <w:i/>
          <w:sz w:val="28"/>
          <w:szCs w:val="28"/>
        </w:rPr>
        <w:t>n</w:t>
      </w:r>
      <w:r>
        <w:rPr>
          <w:sz w:val="28"/>
          <w:szCs w:val="28"/>
        </w:rPr>
        <w:t>(air)≈ 1</w:t>
      </w:r>
      <w:r>
        <w:rPr>
          <w:rFonts w:hint="eastAsia"/>
          <w:sz w:val="28"/>
          <w:szCs w:val="28"/>
        </w:rPr>
        <w:t>&gt;</w:t>
      </w:r>
      <w:r>
        <w:rPr>
          <w:i/>
          <w:sz w:val="28"/>
          <w:szCs w:val="28"/>
        </w:rPr>
        <w:t>n</w:t>
      </w:r>
      <w:r>
        <w:rPr>
          <w:sz w:val="28"/>
          <w:szCs w:val="28"/>
        </w:rPr>
        <w:t>(plasma)</w:t>
      </w:r>
      <w:r>
        <w:rPr>
          <w:rFonts w:hint="eastAsia"/>
          <w:sz w:val="28"/>
          <w:szCs w:val="28"/>
        </w:rPr>
        <w:t>。</w:t>
      </w:r>
      <w:r>
        <w:rPr>
          <w:sz w:val="28"/>
          <w:szCs w:val="28"/>
        </w:rPr>
        <w:t>标准状态下空气对可见光的折射率</w:t>
      </w:r>
      <w:r>
        <w:rPr>
          <w:rFonts w:hint="eastAsia"/>
          <w:i/>
          <w:sz w:val="28"/>
          <w:szCs w:val="28"/>
        </w:rPr>
        <w:t>n</w:t>
      </w:r>
      <w:r>
        <w:rPr>
          <w:sz w:val="28"/>
          <w:szCs w:val="28"/>
        </w:rPr>
        <w:t>(air)约为1.00029</w:t>
      </w:r>
      <w:r>
        <w:rPr>
          <w:rFonts w:hint="eastAsia"/>
          <w:sz w:val="28"/>
          <w:szCs w:val="28"/>
        </w:rPr>
        <w:t>。等离子体的折射率是小于1的。</w:t>
      </w:r>
    </w:p>
    <w:p>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可得角度</w:t>
      </w:r>
      <w:r>
        <w:rPr>
          <w:rFonts w:hint="eastAsia" w:asciiTheme="minorEastAsia" w:hAnsiTheme="minorEastAsia"/>
          <w:i/>
          <w:sz w:val="28"/>
          <w:szCs w:val="28"/>
        </w:rPr>
        <w:t>γ</w:t>
      </w:r>
      <w:r>
        <w:rPr>
          <w:sz w:val="28"/>
          <w:szCs w:val="28"/>
        </w:rPr>
        <w:t>为</w:t>
      </w:r>
      <w:r>
        <w:rPr>
          <w:rFonts w:hint="eastAsia"/>
          <w:sz w:val="28"/>
          <w:szCs w:val="28"/>
        </w:rPr>
        <w:t>：</w:t>
      </w:r>
    </w:p>
    <w:p>
      <w:pPr>
        <w:spacing w:line="360" w:lineRule="auto"/>
        <w:jc w:val="center"/>
        <w:rPr>
          <w:sz w:val="28"/>
          <w:szCs w:val="28"/>
        </w:rPr>
      </w:pPr>
      <w:r>
        <w:rPr>
          <w:position w:val="-16"/>
        </w:rPr>
        <w:object>
          <v:shape id="_x0000_i1028" o:spt="75" type="#_x0000_t75" style="height:21.85pt;width:142.3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p>
    <w:p>
      <w:pPr>
        <w:spacing w:line="360" w:lineRule="auto"/>
        <w:ind w:firstLine="420"/>
        <w:rPr>
          <w:sz w:val="28"/>
          <w:szCs w:val="28"/>
        </w:rPr>
      </w:pPr>
      <w:r>
        <w:rPr>
          <w:sz w:val="28"/>
          <w:szCs w:val="28"/>
        </w:rPr>
        <w:t>出射等离子体柱的光线与等离子体柱的交点距离等离子体柱切面的光轴线高度</w:t>
      </w:r>
      <w:r>
        <w:rPr>
          <w:rFonts w:hint="eastAsia"/>
          <w:i/>
          <w:sz w:val="28"/>
          <w:szCs w:val="28"/>
        </w:rPr>
        <w:t>x</w:t>
      </w:r>
      <w:r>
        <w:rPr>
          <w:i/>
          <w:sz w:val="28"/>
          <w:szCs w:val="28"/>
          <w:vertAlign w:val="superscript"/>
        </w:rPr>
        <w:t>’</w:t>
      </w:r>
      <w:r>
        <w:rPr>
          <w:sz w:val="28"/>
          <w:szCs w:val="28"/>
        </w:rPr>
        <w:t>可以表示</w:t>
      </w:r>
      <w:r>
        <w:rPr>
          <w:rFonts w:hint="eastAsia"/>
          <w:sz w:val="28"/>
          <w:szCs w:val="28"/>
        </w:rPr>
        <w:t>：</w:t>
      </w:r>
    </w:p>
    <w:p>
      <w:pPr>
        <w:spacing w:line="360" w:lineRule="auto"/>
        <w:jc w:val="center"/>
        <w:rPr>
          <w:sz w:val="28"/>
          <w:szCs w:val="28"/>
        </w:rPr>
      </w:pPr>
      <w:r>
        <w:rPr>
          <w:position w:val="-14"/>
        </w:rPr>
        <w:object>
          <v:shape id="_x0000_i1029" o:spt="75" type="#_x0000_t75" style="height:19.8pt;width:72.3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pPr>
        <w:spacing w:line="360" w:lineRule="auto"/>
        <w:ind w:firstLine="420"/>
        <w:rPr>
          <w:sz w:val="28"/>
          <w:szCs w:val="28"/>
        </w:rPr>
      </w:pPr>
      <w:r>
        <w:rPr>
          <w:rFonts w:hint="eastAsia"/>
          <w:sz w:val="28"/>
          <w:szCs w:val="28"/>
        </w:rPr>
        <w:t>当角度</w:t>
      </w:r>
      <w:r>
        <w:rPr>
          <w:rFonts w:hint="eastAsia" w:asciiTheme="minorEastAsia" w:hAnsiTheme="minorEastAsia"/>
          <w:i/>
          <w:sz w:val="28"/>
          <w:szCs w:val="28"/>
        </w:rPr>
        <w:t>γ</w:t>
      </w:r>
      <w:r>
        <w:rPr>
          <w:rFonts w:hint="eastAsia" w:asciiTheme="minorEastAsia" w:hAnsiTheme="minorEastAsia"/>
          <w:sz w:val="28"/>
          <w:szCs w:val="28"/>
        </w:rPr>
        <w:t>很小的时候，</w:t>
      </w:r>
      <w:r>
        <w:rPr>
          <w:sz w:val="28"/>
          <w:szCs w:val="28"/>
        </w:rPr>
        <w:t>高度</w:t>
      </w:r>
      <w:r>
        <w:rPr>
          <w:rFonts w:hint="eastAsia"/>
          <w:i/>
          <w:sz w:val="28"/>
          <w:szCs w:val="28"/>
        </w:rPr>
        <w:t>x</w:t>
      </w:r>
      <w:r>
        <w:rPr>
          <w:i/>
          <w:sz w:val="28"/>
          <w:szCs w:val="28"/>
          <w:vertAlign w:val="superscript"/>
        </w:rPr>
        <w:t>’</w:t>
      </w:r>
      <w:r>
        <w:rPr>
          <w:sz w:val="28"/>
          <w:szCs w:val="28"/>
        </w:rPr>
        <w:t>为</w:t>
      </w:r>
      <w:r>
        <w:rPr>
          <w:rFonts w:hint="eastAsia"/>
          <w:sz w:val="28"/>
          <w:szCs w:val="28"/>
        </w:rPr>
        <w:t>：</w:t>
      </w:r>
    </w:p>
    <w:p>
      <w:pPr>
        <w:spacing w:line="360" w:lineRule="auto"/>
        <w:jc w:val="center"/>
        <w:rPr>
          <w:sz w:val="28"/>
          <w:szCs w:val="28"/>
        </w:rPr>
      </w:pPr>
      <w:r>
        <w:rPr>
          <w:position w:val="-10"/>
        </w:rPr>
        <w:object>
          <v:shape id="_x0000_i1030" o:spt="75" type="#_x0000_t75" style="height:16.05pt;width:46.0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p>
    <w:p>
      <w:pPr>
        <w:spacing w:line="360" w:lineRule="auto"/>
        <w:ind w:firstLine="420"/>
        <w:rPr>
          <w:sz w:val="28"/>
          <w:szCs w:val="28"/>
        </w:rPr>
      </w:pPr>
      <w:r>
        <w:rPr>
          <w:sz w:val="28"/>
          <w:szCs w:val="28"/>
        </w:rPr>
        <w:t>其中</w:t>
      </w:r>
      <w:r>
        <w:rPr>
          <w:rFonts w:hint="eastAsia"/>
          <w:sz w:val="28"/>
          <w:szCs w:val="28"/>
        </w:rPr>
        <w:t>，R为火工品爆轰产生的等离子体柱半径。</w:t>
      </w:r>
    </w:p>
    <w:p>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可得出射等离子体柱的光线与等离子体柱切面的光轴线夹角</w:t>
      </w:r>
      <w:r>
        <w:rPr>
          <w:rFonts w:hint="eastAsia" w:asciiTheme="minorEastAsia" w:hAnsiTheme="minorEastAsia"/>
          <w:i/>
          <w:sz w:val="28"/>
          <w:szCs w:val="28"/>
        </w:rPr>
        <w:t>δ</w:t>
      </w:r>
      <w:r>
        <w:rPr>
          <w:sz w:val="28"/>
          <w:szCs w:val="28"/>
        </w:rPr>
        <w:t>为</w:t>
      </w:r>
      <w:r>
        <w:rPr>
          <w:rFonts w:hint="eastAsia"/>
          <w:sz w:val="28"/>
          <w:szCs w:val="28"/>
        </w:rPr>
        <w:t>：</w:t>
      </w:r>
    </w:p>
    <w:p>
      <w:pPr>
        <w:spacing w:line="360" w:lineRule="auto"/>
        <w:jc w:val="center"/>
        <w:rPr>
          <w:sz w:val="28"/>
          <w:szCs w:val="28"/>
        </w:rPr>
      </w:pPr>
      <w:r>
        <w:rPr>
          <w:position w:val="-16"/>
        </w:rPr>
        <w:object>
          <v:shape id="_x0000_i1031" o:spt="75" type="#_x0000_t75" style="height:21.85pt;width:207.8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p>
    <w:p>
      <w:pPr>
        <w:spacing w:line="360" w:lineRule="auto"/>
        <w:rPr>
          <w:sz w:val="28"/>
          <w:szCs w:val="28"/>
        </w:rPr>
      </w:pPr>
      <w:r>
        <w:rPr>
          <w:sz w:val="28"/>
          <w:szCs w:val="28"/>
        </w:rPr>
        <w:tab/>
      </w:r>
      <w:r>
        <w:rPr>
          <w:sz w:val="28"/>
          <w:szCs w:val="28"/>
        </w:rPr>
        <w:t>综上</w:t>
      </w:r>
      <w:r>
        <w:rPr>
          <w:rFonts w:hint="eastAsia"/>
          <w:sz w:val="28"/>
          <w:szCs w:val="28"/>
        </w:rPr>
        <w:t>，</w:t>
      </w:r>
      <w:r>
        <w:rPr>
          <w:sz w:val="28"/>
          <w:szCs w:val="28"/>
        </w:rPr>
        <w:t>可以得到</w:t>
      </w:r>
      <w:r>
        <w:rPr>
          <w:i/>
          <w:sz w:val="28"/>
          <w:szCs w:val="28"/>
        </w:rPr>
        <w:t>Z</w:t>
      </w:r>
      <w:r>
        <w:rPr>
          <w:i/>
          <w:sz w:val="28"/>
          <w:szCs w:val="28"/>
          <w:vertAlign w:val="superscript"/>
        </w:rPr>
        <w:t>’</w:t>
      </w:r>
      <w:r>
        <w:rPr>
          <w:sz w:val="28"/>
          <w:szCs w:val="28"/>
        </w:rPr>
        <w:t>为</w:t>
      </w:r>
      <w:r>
        <w:rPr>
          <w:rFonts w:hint="eastAsia"/>
          <w:sz w:val="28"/>
          <w:szCs w:val="28"/>
        </w:rPr>
        <w:t>：</w:t>
      </w:r>
    </w:p>
    <w:p>
      <w:pPr>
        <w:spacing w:line="360" w:lineRule="auto"/>
        <w:jc w:val="center"/>
        <w:rPr>
          <w:sz w:val="28"/>
          <w:szCs w:val="28"/>
        </w:rPr>
      </w:pPr>
      <w:r>
        <w:rPr>
          <w:position w:val="-32"/>
        </w:rPr>
        <w:object>
          <v:shape id="_x0000_i1032" o:spt="75" type="#_x0000_t75" style="height:37.2pt;width:154.2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p>
    <w:p>
      <w:pPr>
        <w:spacing w:line="360" w:lineRule="auto"/>
        <w:rPr>
          <w:sz w:val="28"/>
          <w:szCs w:val="28"/>
        </w:rPr>
      </w:pPr>
      <w:r>
        <w:rPr>
          <w:sz w:val="28"/>
          <w:szCs w:val="28"/>
        </w:rPr>
        <w:tab/>
      </w:r>
      <w:r>
        <w:rPr>
          <w:sz w:val="28"/>
          <w:szCs w:val="28"/>
        </w:rPr>
        <w:t>基于三角形公式</w:t>
      </w:r>
      <w:r>
        <w:rPr>
          <w:rFonts w:hint="eastAsia"/>
          <w:sz w:val="28"/>
          <w:szCs w:val="28"/>
        </w:rPr>
        <w:t>，</w:t>
      </w:r>
      <w:r>
        <w:rPr>
          <w:sz w:val="28"/>
          <w:szCs w:val="28"/>
        </w:rPr>
        <w:t>可以得到</w:t>
      </w:r>
      <w:r>
        <w:rPr>
          <w:i/>
          <w:sz w:val="28"/>
          <w:szCs w:val="28"/>
        </w:rPr>
        <w:t>Z</w:t>
      </w:r>
      <w:r>
        <w:rPr>
          <w:i/>
          <w:sz w:val="28"/>
          <w:szCs w:val="28"/>
          <w:vertAlign w:val="superscript"/>
        </w:rPr>
        <w:t>’ ’</w:t>
      </w:r>
      <w:r>
        <w:rPr>
          <w:sz w:val="28"/>
          <w:szCs w:val="28"/>
        </w:rPr>
        <w:t>为</w:t>
      </w:r>
      <w:r>
        <w:rPr>
          <w:rFonts w:hint="eastAsia"/>
          <w:sz w:val="28"/>
          <w:szCs w:val="28"/>
        </w:rPr>
        <w:t>：</w:t>
      </w:r>
    </w:p>
    <w:p>
      <w:pPr>
        <w:spacing w:line="360" w:lineRule="auto"/>
        <w:jc w:val="center"/>
        <w:rPr>
          <w:sz w:val="28"/>
          <w:szCs w:val="28"/>
        </w:rPr>
      </w:pPr>
      <w:r>
        <w:rPr>
          <w:position w:val="-16"/>
        </w:rPr>
        <w:object>
          <v:shape id="_x0000_i1033" o:spt="75" type="#_x0000_t75" style="height:23.9pt;width:160.0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p>
    <w:p>
      <w:pPr>
        <w:spacing w:line="360" w:lineRule="auto"/>
        <w:ind w:firstLine="420"/>
        <w:rPr>
          <w:sz w:val="28"/>
          <w:szCs w:val="28"/>
        </w:rPr>
      </w:pPr>
      <w:r>
        <w:rPr>
          <w:sz w:val="28"/>
          <w:szCs w:val="28"/>
        </w:rPr>
        <w:t>此时</w:t>
      </w:r>
      <w:r>
        <w:rPr>
          <w:rFonts w:hint="eastAsia"/>
          <w:sz w:val="28"/>
          <w:szCs w:val="28"/>
        </w:rPr>
        <w:t>，</w:t>
      </w:r>
      <w:r>
        <w:rPr>
          <w:sz w:val="28"/>
          <w:szCs w:val="28"/>
        </w:rPr>
        <w:t>我们将整个等离子体柱看成一个透镜</w:t>
      </w:r>
      <w:r>
        <w:rPr>
          <w:rFonts w:hint="eastAsia"/>
          <w:sz w:val="28"/>
          <w:szCs w:val="28"/>
        </w:rPr>
        <w:t>，</w:t>
      </w:r>
      <w:r>
        <w:rPr>
          <w:sz w:val="28"/>
          <w:szCs w:val="28"/>
        </w:rPr>
        <w:t>可以得到其焦距</w:t>
      </w:r>
      <w:r>
        <w:rPr>
          <w:i/>
          <w:sz w:val="28"/>
          <w:szCs w:val="28"/>
        </w:rPr>
        <w:t>f</w:t>
      </w:r>
      <w:r>
        <w:rPr>
          <w:sz w:val="28"/>
          <w:szCs w:val="28"/>
        </w:rPr>
        <w:t>相对于中间为</w:t>
      </w:r>
      <w:r>
        <w:rPr>
          <w:rFonts w:hint="eastAsia"/>
          <w:sz w:val="28"/>
          <w:szCs w:val="28"/>
        </w:rPr>
        <w:t>:</w:t>
      </w:r>
    </w:p>
    <w:p>
      <w:pPr>
        <w:spacing w:line="360" w:lineRule="auto"/>
        <w:jc w:val="center"/>
        <w:rPr>
          <w:sz w:val="28"/>
          <w:szCs w:val="28"/>
        </w:rPr>
      </w:pPr>
      <w:r>
        <w:rPr>
          <w:position w:val="-28"/>
        </w:rPr>
        <w:object>
          <v:shape id="_x0000_i1034" o:spt="75" type="#_x0000_t75" style="height:35.15pt;width:204.0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p>
    <w:p>
      <w:pPr>
        <w:spacing w:line="360" w:lineRule="auto"/>
        <w:rPr>
          <w:sz w:val="28"/>
          <w:szCs w:val="28"/>
        </w:rPr>
      </w:pPr>
      <w:r>
        <w:rPr>
          <w:sz w:val="28"/>
          <w:szCs w:val="28"/>
        </w:rPr>
        <w:tab/>
      </w:r>
      <w:r>
        <w:rPr>
          <w:sz w:val="28"/>
          <w:szCs w:val="28"/>
        </w:rPr>
        <w:t>联立</w:t>
      </w:r>
      <w:r>
        <w:rPr>
          <w:rFonts w:hint="eastAsia"/>
          <w:sz w:val="28"/>
          <w:szCs w:val="28"/>
        </w:rPr>
        <w:t>角度</w:t>
      </w:r>
      <w:r>
        <w:rPr>
          <w:rFonts w:hint="eastAsia" w:asciiTheme="minorEastAsia" w:hAnsiTheme="minorEastAsia"/>
          <w:i/>
          <w:sz w:val="28"/>
          <w:szCs w:val="28"/>
        </w:rPr>
        <w:t>α</w:t>
      </w:r>
      <w:r>
        <w:rPr>
          <w:rFonts w:hint="eastAsia"/>
          <w:sz w:val="28"/>
          <w:szCs w:val="28"/>
        </w:rPr>
        <w:t>和</w:t>
      </w:r>
      <w:r>
        <w:rPr>
          <w:rFonts w:hint="eastAsia" w:asciiTheme="minorEastAsia" w:hAnsiTheme="minorEastAsia"/>
          <w:i/>
          <w:sz w:val="28"/>
          <w:szCs w:val="28"/>
        </w:rPr>
        <w:t>β</w:t>
      </w:r>
      <w:r>
        <w:rPr>
          <w:rFonts w:hint="eastAsia" w:asciiTheme="minorEastAsia" w:hAnsiTheme="minorEastAsia"/>
          <w:sz w:val="28"/>
          <w:szCs w:val="28"/>
        </w:rPr>
        <w:t>与折射率</w:t>
      </w:r>
      <w:r>
        <w:rPr>
          <w:rFonts w:hint="eastAsia"/>
          <w:sz w:val="28"/>
          <w:szCs w:val="28"/>
        </w:rPr>
        <w:t>n</w:t>
      </w:r>
      <w:r>
        <w:rPr>
          <w:sz w:val="28"/>
          <w:szCs w:val="28"/>
        </w:rPr>
        <w:t>(air)和n(plasma)的关系</w:t>
      </w:r>
      <w:r>
        <w:rPr>
          <w:rFonts w:hint="eastAsia"/>
          <w:sz w:val="28"/>
          <w:szCs w:val="28"/>
        </w:rPr>
        <w:t>：</w:t>
      </w:r>
    </w:p>
    <w:p>
      <w:pPr>
        <w:spacing w:line="360" w:lineRule="auto"/>
        <w:jc w:val="center"/>
        <w:rPr>
          <w:sz w:val="28"/>
          <w:szCs w:val="28"/>
        </w:rPr>
      </w:pPr>
      <w:r>
        <w:rPr>
          <w:position w:val="-32"/>
        </w:rPr>
        <w:object>
          <v:shape id="_x0000_i1035" o:spt="75" type="#_x0000_t75" style="height:37.2pt;width:78.8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p>
    <w:p>
      <w:pPr>
        <w:spacing w:line="360" w:lineRule="auto"/>
        <w:ind w:firstLine="420"/>
        <w:rPr>
          <w:sz w:val="28"/>
          <w:szCs w:val="28"/>
        </w:rPr>
      </w:pPr>
      <w:r>
        <w:rPr>
          <w:rFonts w:hint="eastAsia"/>
          <w:sz w:val="28"/>
          <w:szCs w:val="28"/>
        </w:rPr>
        <w:t>并且假设空气折射率n</w:t>
      </w:r>
      <w:r>
        <w:rPr>
          <w:sz w:val="28"/>
          <w:szCs w:val="28"/>
        </w:rPr>
        <w:t>(air)=1</w:t>
      </w:r>
      <w:r>
        <w:rPr>
          <w:rFonts w:hint="eastAsia"/>
          <w:sz w:val="28"/>
          <w:szCs w:val="28"/>
        </w:rPr>
        <w:t>，</w:t>
      </w:r>
      <w:r>
        <w:rPr>
          <w:sz w:val="28"/>
          <w:szCs w:val="28"/>
        </w:rPr>
        <w:t>可以得到</w:t>
      </w:r>
      <w:r>
        <w:rPr>
          <w:rFonts w:hint="eastAsia"/>
          <w:sz w:val="28"/>
          <w:szCs w:val="28"/>
        </w:rPr>
        <w:t>：</w:t>
      </w:r>
    </w:p>
    <w:p>
      <w:pPr>
        <w:spacing w:line="360" w:lineRule="auto"/>
        <w:jc w:val="center"/>
        <w:rPr>
          <w:sz w:val="28"/>
          <w:szCs w:val="28"/>
        </w:rPr>
      </w:pPr>
      <w:r>
        <w:rPr>
          <w:position w:val="-108"/>
        </w:rPr>
        <w:object>
          <v:shape id="_x0000_i1036" o:spt="75" type="#_x0000_t75" style="height:116.7pt;width:293.4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p>
    <w:p>
      <w:pPr>
        <w:spacing w:line="360" w:lineRule="auto"/>
        <w:rPr>
          <w:rFonts w:hint="eastAsia"/>
          <w:sz w:val="28"/>
          <w:szCs w:val="28"/>
        </w:rPr>
      </w:pPr>
      <w:r>
        <w:rPr>
          <w:sz w:val="28"/>
          <w:szCs w:val="28"/>
        </w:rPr>
        <w:tab/>
      </w:r>
      <w:r>
        <w:rPr>
          <w:sz w:val="28"/>
          <w:szCs w:val="28"/>
        </w:rPr>
        <w:t>所以</w:t>
      </w:r>
      <w:r>
        <w:rPr>
          <w:rFonts w:hint="eastAsia"/>
          <w:sz w:val="28"/>
          <w:szCs w:val="28"/>
        </w:rPr>
        <w:t>，</w:t>
      </w:r>
      <w:r>
        <w:rPr>
          <w:sz w:val="28"/>
          <w:szCs w:val="28"/>
        </w:rPr>
        <w:t>我们可以知道等离子体柱的焦距只取决于等离子体柱的折射率和直径</w:t>
      </w:r>
      <w:r>
        <w:rPr>
          <w:rFonts w:hint="eastAsia"/>
          <w:sz w:val="28"/>
          <w:szCs w:val="28"/>
        </w:rPr>
        <w:t>。并且此时的焦距是负的，属于一个发散透镜，即凹透镜。由于圆柱并不是一个完美的透镜，实际中会观察到大量的球面相差。</w:t>
      </w:r>
    </w:p>
    <w:p>
      <w:pPr>
        <w:spacing w:line="360" w:lineRule="auto"/>
        <w:rPr>
          <w:sz w:val="28"/>
          <w:szCs w:val="28"/>
        </w:rPr>
      </w:pPr>
    </w:p>
    <w:p>
      <w:pPr>
        <w:pStyle w:val="4"/>
      </w:pPr>
      <w:r>
        <w:t>模糊圆柱形model</w:t>
      </w:r>
    </w:p>
    <w:p>
      <w:pPr>
        <w:spacing w:line="360" w:lineRule="auto"/>
        <w:rPr>
          <w:sz w:val="28"/>
          <w:szCs w:val="28"/>
        </w:rPr>
      </w:pPr>
      <w:r>
        <w:rPr>
          <w:sz w:val="28"/>
          <w:szCs w:val="28"/>
        </w:rPr>
        <w:t>讲粗换过模糊圆柱形的区域</w:t>
      </w:r>
      <w:r>
        <w:rPr>
          <w:rFonts w:hint="eastAsia"/>
          <w:sz w:val="28"/>
          <w:szCs w:val="28"/>
        </w:rPr>
        <w:t>，</w:t>
      </w:r>
      <w:r>
        <w:rPr>
          <w:sz w:val="28"/>
          <w:szCs w:val="28"/>
        </w:rPr>
        <w:t>进行数值计算</w:t>
      </w:r>
      <w:r>
        <w:rPr>
          <w:rFonts w:hint="eastAsia"/>
          <w:sz w:val="28"/>
          <w:szCs w:val="28"/>
        </w:rPr>
        <w:t>，</w:t>
      </w:r>
      <w:r>
        <w:rPr>
          <w:sz w:val="28"/>
          <w:szCs w:val="28"/>
        </w:rPr>
        <w:t>分为三个区域</w:t>
      </w:r>
      <w:r>
        <w:rPr>
          <w:rFonts w:hint="eastAsia"/>
          <w:sz w:val="28"/>
          <w:szCs w:val="28"/>
        </w:rPr>
        <w:t>。</w:t>
      </w:r>
    </w:p>
    <w:p>
      <w:pPr>
        <w:spacing w:line="360" w:lineRule="auto"/>
        <w:rPr>
          <w:sz w:val="28"/>
          <w:szCs w:val="28"/>
        </w:rPr>
      </w:pPr>
    </w:p>
    <w:p>
      <w:pPr>
        <w:spacing w:line="360" w:lineRule="auto"/>
        <w:rPr>
          <w:sz w:val="28"/>
          <w:szCs w:val="28"/>
        </w:rPr>
      </w:pPr>
    </w:p>
    <w:p>
      <w:pPr>
        <w:pStyle w:val="4"/>
      </w:pPr>
      <w:r>
        <w:t>圆柱形透镜model</w:t>
      </w:r>
    </w:p>
    <w:p>
      <w:pPr>
        <w:spacing w:line="360" w:lineRule="auto"/>
        <w:rPr>
          <w:rFonts w:hint="eastAsia"/>
          <w:sz w:val="28"/>
          <w:szCs w:val="28"/>
        </w:rPr>
      </w:pPr>
      <w:r>
        <w:rPr>
          <w:rFonts w:hint="eastAsia"/>
          <w:sz w:val="28"/>
          <w:szCs w:val="28"/>
        </w:rPr>
        <w:t>分为两个区域，</w:t>
      </w: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pStyle w:val="3"/>
      </w:pPr>
      <w:r>
        <w:t>Lensmaker’s equation</w:t>
      </w:r>
    </w:p>
    <w:p>
      <w:pPr>
        <w:spacing w:line="360" w:lineRule="auto"/>
        <w:rPr>
          <w:sz w:val="28"/>
          <w:szCs w:val="28"/>
        </w:rPr>
      </w:pPr>
      <w:r>
        <w:drawing>
          <wp:inline distT="0" distB="0" distL="0" distR="0">
            <wp:extent cx="5274310" cy="3954780"/>
            <wp:effectExtent l="0" t="0" r="2540" b="7620"/>
            <wp:docPr id="2" name="图片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ee the source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3955122"/>
                    </a:xfrm>
                    <a:prstGeom prst="rect">
                      <a:avLst/>
                    </a:prstGeom>
                    <a:noFill/>
                    <a:ln>
                      <a:noFill/>
                    </a:ln>
                  </pic:spPr>
                </pic:pic>
              </a:graphicData>
            </a:graphic>
          </wp:inline>
        </w:drawing>
      </w: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widowControl/>
        <w:jc w:val="left"/>
        <w:rPr>
          <w:sz w:val="28"/>
          <w:szCs w:val="28"/>
        </w:rPr>
      </w:pPr>
      <w:r>
        <w:rPr>
          <w:sz w:val="28"/>
          <w:szCs w:val="28"/>
        </w:rPr>
        <w:br w:type="page"/>
      </w:r>
    </w:p>
    <w:p>
      <w:pPr>
        <w:spacing w:line="360" w:lineRule="auto"/>
        <w:rPr>
          <w:sz w:val="28"/>
          <w:szCs w:val="28"/>
        </w:rPr>
      </w:pPr>
      <w:bookmarkStart w:id="0" w:name="_GoBack"/>
      <w:bookmarkEnd w:id="0"/>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Helvetica Neue">
    <w:panose1 w:val="02000503000000020004"/>
    <w:charset w:val="00"/>
    <w:family w:val="auto"/>
    <w:pitch w:val="default"/>
    <w:sig w:usb0="E50002FF" w:usb1="500079DB" w:usb2="00000010" w:usb3="00000000" w:csb0="00000000" w:csb1="00000000"/>
  </w:font>
  <w:font w:name="PingFangHK">
    <w:altName w:val="PingFang SC"/>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HYZhongHei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D4"/>
    <w:rsid w:val="00011786"/>
    <w:rsid w:val="00030453"/>
    <w:rsid w:val="000636B5"/>
    <w:rsid w:val="00092E2D"/>
    <w:rsid w:val="000C21DB"/>
    <w:rsid w:val="000E2CE2"/>
    <w:rsid w:val="00120223"/>
    <w:rsid w:val="0012487F"/>
    <w:rsid w:val="001520E9"/>
    <w:rsid w:val="001E5FC7"/>
    <w:rsid w:val="001F56EC"/>
    <w:rsid w:val="002015B1"/>
    <w:rsid w:val="00211912"/>
    <w:rsid w:val="00243A3C"/>
    <w:rsid w:val="00267EA9"/>
    <w:rsid w:val="002E37B5"/>
    <w:rsid w:val="00342789"/>
    <w:rsid w:val="003D3FD0"/>
    <w:rsid w:val="003E1A67"/>
    <w:rsid w:val="0040115E"/>
    <w:rsid w:val="00402F54"/>
    <w:rsid w:val="00455CA6"/>
    <w:rsid w:val="004575E2"/>
    <w:rsid w:val="004705A8"/>
    <w:rsid w:val="00477FCB"/>
    <w:rsid w:val="00494D40"/>
    <w:rsid w:val="004D7372"/>
    <w:rsid w:val="004F6E40"/>
    <w:rsid w:val="005112E1"/>
    <w:rsid w:val="00551E44"/>
    <w:rsid w:val="00597BB7"/>
    <w:rsid w:val="00612F71"/>
    <w:rsid w:val="00677C4C"/>
    <w:rsid w:val="007054DA"/>
    <w:rsid w:val="00727C2E"/>
    <w:rsid w:val="00786DD9"/>
    <w:rsid w:val="007B2D91"/>
    <w:rsid w:val="007C1450"/>
    <w:rsid w:val="007D7D57"/>
    <w:rsid w:val="007E2B51"/>
    <w:rsid w:val="00800084"/>
    <w:rsid w:val="008971CA"/>
    <w:rsid w:val="009143AB"/>
    <w:rsid w:val="009546D4"/>
    <w:rsid w:val="009B358C"/>
    <w:rsid w:val="00A165FF"/>
    <w:rsid w:val="00A713EE"/>
    <w:rsid w:val="00A844C0"/>
    <w:rsid w:val="00A94305"/>
    <w:rsid w:val="00AC7C3F"/>
    <w:rsid w:val="00B5760A"/>
    <w:rsid w:val="00B80098"/>
    <w:rsid w:val="00BC5C25"/>
    <w:rsid w:val="00C75A5E"/>
    <w:rsid w:val="00CC40F2"/>
    <w:rsid w:val="00CD5554"/>
    <w:rsid w:val="00D15363"/>
    <w:rsid w:val="00D43B76"/>
    <w:rsid w:val="00D50E25"/>
    <w:rsid w:val="00D72FC6"/>
    <w:rsid w:val="00D82052"/>
    <w:rsid w:val="00DA5A13"/>
    <w:rsid w:val="00DC277F"/>
    <w:rsid w:val="00DC6E17"/>
    <w:rsid w:val="00DD23D4"/>
    <w:rsid w:val="00DD587B"/>
    <w:rsid w:val="00DF01C4"/>
    <w:rsid w:val="00E02C13"/>
    <w:rsid w:val="00E705E0"/>
    <w:rsid w:val="00F00719"/>
    <w:rsid w:val="00F47720"/>
    <w:rsid w:val="00F86741"/>
    <w:rsid w:val="00FC4B65"/>
    <w:rsid w:val="00FD2E15"/>
    <w:rsid w:val="D6D7F32C"/>
    <w:rsid w:val="F9D80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8">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character" w:styleId="10">
    <w:name w:val="Emphasis"/>
    <w:basedOn w:val="9"/>
    <w:qFormat/>
    <w:uiPriority w:val="20"/>
    <w:rPr>
      <w:i/>
      <w:iCs/>
    </w:rPr>
  </w:style>
  <w:style w:type="character" w:styleId="11">
    <w:name w:val="Hyperlink"/>
    <w:basedOn w:val="9"/>
    <w:unhideWhenUsed/>
    <w:uiPriority w:val="99"/>
    <w:rPr>
      <w:color w:val="0000FF"/>
      <w:u w:val="single"/>
    </w:rPr>
  </w:style>
  <w:style w:type="character" w:customStyle="1" w:styleId="13">
    <w:name w:val="标题 2 Char"/>
    <w:basedOn w:val="9"/>
    <w:link w:val="2"/>
    <w:uiPriority w:val="9"/>
    <w:rPr>
      <w:rFonts w:asciiTheme="majorHAnsi" w:hAnsiTheme="majorHAnsi" w:eastAsiaTheme="majorEastAsia" w:cstheme="majorBidi"/>
      <w:b/>
      <w:bCs/>
      <w:sz w:val="32"/>
      <w:szCs w:val="32"/>
    </w:rPr>
  </w:style>
  <w:style w:type="character" w:customStyle="1" w:styleId="14">
    <w:name w:val="页眉 Char"/>
    <w:basedOn w:val="9"/>
    <w:link w:val="6"/>
    <w:uiPriority w:val="99"/>
    <w:rPr>
      <w:sz w:val="18"/>
      <w:szCs w:val="18"/>
    </w:rPr>
  </w:style>
  <w:style w:type="character" w:customStyle="1" w:styleId="15">
    <w:name w:val="页脚 Char"/>
    <w:basedOn w:val="9"/>
    <w:link w:val="5"/>
    <w:uiPriority w:val="99"/>
    <w:rPr>
      <w:sz w:val="18"/>
      <w:szCs w:val="18"/>
    </w:rPr>
  </w:style>
  <w:style w:type="character" w:customStyle="1" w:styleId="16">
    <w:name w:val="texhtml"/>
    <w:basedOn w:val="9"/>
    <w:uiPriority w:val="0"/>
  </w:style>
  <w:style w:type="character" w:customStyle="1" w:styleId="17">
    <w:name w:val="HTML 预设格式 Char"/>
    <w:basedOn w:val="9"/>
    <w:link w:val="7"/>
    <w:semiHidden/>
    <w:uiPriority w:val="99"/>
    <w:rPr>
      <w:rFonts w:ascii="SimSun" w:hAnsi="SimSun" w:eastAsia="SimSun" w:cs="SimSun"/>
      <w:kern w:val="0"/>
      <w:sz w:val="24"/>
      <w:szCs w:val="24"/>
    </w:rPr>
  </w:style>
  <w:style w:type="character" w:customStyle="1" w:styleId="18">
    <w:name w:val="nu0"/>
    <w:basedOn w:val="9"/>
    <w:uiPriority w:val="0"/>
  </w:style>
  <w:style w:type="character" w:customStyle="1" w:styleId="19">
    <w:name w:val="kw1"/>
    <w:basedOn w:val="9"/>
    <w:uiPriority w:val="0"/>
  </w:style>
  <w:style w:type="character" w:customStyle="1" w:styleId="20">
    <w:name w:val="kw2"/>
    <w:basedOn w:val="9"/>
    <w:uiPriority w:val="0"/>
  </w:style>
  <w:style w:type="character" w:customStyle="1" w:styleId="21">
    <w:name w:val="br0"/>
    <w:basedOn w:val="9"/>
    <w:uiPriority w:val="0"/>
  </w:style>
  <w:style w:type="character" w:customStyle="1" w:styleId="22">
    <w:name w:val="me1"/>
    <w:basedOn w:val="9"/>
    <w:uiPriority w:val="0"/>
  </w:style>
  <w:style w:type="character" w:customStyle="1" w:styleId="23">
    <w:name w:val="标题 3 Char"/>
    <w:basedOn w:val="9"/>
    <w:link w:val="3"/>
    <w:uiPriority w:val="9"/>
    <w:rPr>
      <w:b/>
      <w:bCs/>
      <w:sz w:val="32"/>
      <w:szCs w:val="32"/>
    </w:rPr>
  </w:style>
  <w:style w:type="character" w:customStyle="1" w:styleId="24">
    <w:name w:val="标题 4 Char"/>
    <w:basedOn w:val="9"/>
    <w:link w:val="4"/>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3.jpeg"/><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350</Words>
  <Characters>2001</Characters>
  <Lines>16</Lines>
  <Paragraphs>4</Paragraphs>
  <TotalTime>0</TotalTime>
  <ScaleCrop>false</ScaleCrop>
  <LinksUpToDate>false</LinksUpToDate>
  <CharactersWithSpaces>2347</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2020-02-15T19:03:00Z</dcterms:created>
  <dc:creator>rmliu</dc:creator>
  <cp:lastModifiedBy>rmliu</cp:lastModifiedBy>
  <dcterms:modified xsi:type="dcterms:W3CDTF">2020-03-20T18:11:06Z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1033-1.8.2.2861</vt:lpwstr>
  </property>
</Properties>
</file>