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6DB0A" w14:textId="77777777" w:rsidR="00EB2D47" w:rsidRPr="00EB2D47" w:rsidRDefault="00EB2D47" w:rsidP="00EB2D47">
      <w:pPr>
        <w:shd w:val="clear" w:color="auto" w:fill="FFFFFF"/>
        <w:spacing w:before="100" w:beforeAutospacing="1" w:after="240" w:line="240" w:lineRule="auto"/>
        <w:jc w:val="center"/>
        <w:outlineLvl w:val="0"/>
        <w:rPr>
          <w:rFonts w:ascii="Calibri" w:eastAsia="Times New Roman" w:hAnsi="Calibri" w:cs="Calibri"/>
          <w:b/>
          <w:bCs/>
          <w:color w:val="24292F"/>
          <w:kern w:val="36"/>
          <w:sz w:val="48"/>
          <w:szCs w:val="48"/>
          <w:lang w:eastAsia="en-GB"/>
        </w:rPr>
      </w:pPr>
      <w:r w:rsidRPr="00EB2D47">
        <w:rPr>
          <w:rFonts w:ascii="Calibri" w:eastAsia="Times New Roman" w:hAnsi="Calibri" w:cs="Calibri"/>
          <w:b/>
          <w:bCs/>
          <w:color w:val="24292F"/>
          <w:kern w:val="36"/>
          <w:sz w:val="48"/>
          <w:szCs w:val="48"/>
          <w:lang w:eastAsia="en-GB"/>
        </w:rPr>
        <w:t>Hazard Log</w:t>
      </w:r>
    </w:p>
    <w:p w14:paraId="41BDE21A" w14:textId="77777777" w:rsidR="00EB2D47" w:rsidRPr="00EB2D47" w:rsidRDefault="00EB2D47" w:rsidP="00EB2D47">
      <w:pPr>
        <w:shd w:val="clear" w:color="auto" w:fill="FFFFFF"/>
        <w:spacing w:before="360" w:after="240" w:line="240" w:lineRule="auto"/>
        <w:outlineLvl w:val="1"/>
        <w:rPr>
          <w:rFonts w:ascii="Calibri" w:eastAsia="Times New Roman" w:hAnsi="Calibri" w:cs="Calibri"/>
          <w:b/>
          <w:bCs/>
          <w:color w:val="24292F"/>
          <w:sz w:val="36"/>
          <w:szCs w:val="36"/>
          <w:lang w:eastAsia="en-GB"/>
        </w:rPr>
      </w:pPr>
      <w:r w:rsidRPr="00EB2D47">
        <w:rPr>
          <w:rFonts w:ascii="Calibri" w:eastAsia="Times New Roman" w:hAnsi="Calibri" w:cs="Calibri"/>
          <w:b/>
          <w:bCs/>
          <w:color w:val="24292F"/>
          <w:sz w:val="36"/>
          <w:szCs w:val="36"/>
          <w:lang w:eastAsia="en-GB"/>
        </w:rPr>
        <w:t>Instructions for use</w:t>
      </w:r>
    </w:p>
    <w:p w14:paraId="2C97E6A0" w14:textId="65849386" w:rsidR="00EB2D47" w:rsidRPr="00EB2D47" w:rsidRDefault="00EB2D47" w:rsidP="00EB2D47">
      <w:pPr>
        <w:shd w:val="clear" w:color="auto" w:fill="FFFFFF"/>
        <w:spacing w:after="240" w:line="240" w:lineRule="auto"/>
        <w:rPr>
          <w:rFonts w:ascii="Calibri" w:eastAsia="Times New Roman" w:hAnsi="Calibri" w:cs="Calibri"/>
          <w:color w:val="24292F"/>
          <w:sz w:val="24"/>
          <w:szCs w:val="24"/>
          <w:lang w:eastAsia="en-GB"/>
        </w:rPr>
      </w:pPr>
      <w:r w:rsidRPr="00EB2D47">
        <w:rPr>
          <w:rFonts w:ascii="Calibri" w:eastAsia="Times New Roman" w:hAnsi="Calibri" w:cs="Calibri"/>
          <w:color w:val="24292F"/>
          <w:sz w:val="24"/>
          <w:szCs w:val="24"/>
          <w:lang w:eastAsia="en-GB"/>
        </w:rPr>
        <w:t xml:space="preserve">The table below should be used to log any hazards associated with the proper use of the </w:t>
      </w:r>
      <w:r w:rsidR="00A16E18">
        <w:rPr>
          <w:rFonts w:ascii="Calibri" w:eastAsia="Times New Roman" w:hAnsi="Calibri" w:cs="Calibri"/>
          <w:color w:val="24292F"/>
          <w:sz w:val="24"/>
          <w:szCs w:val="24"/>
          <w:lang w:eastAsia="en-GB"/>
        </w:rPr>
        <w:t>eFI2 and incorporated eFI2 algorithms</w:t>
      </w:r>
      <w:r w:rsidRPr="00EB2D47">
        <w:rPr>
          <w:rFonts w:ascii="Calibri" w:eastAsia="Times New Roman" w:hAnsi="Calibri" w:cs="Calibri"/>
          <w:color w:val="24292F"/>
          <w:sz w:val="24"/>
          <w:szCs w:val="24"/>
          <w:lang w:eastAsia="en-GB"/>
        </w:rPr>
        <w:t xml:space="preserve">. </w:t>
      </w:r>
      <w:r w:rsidR="00A820A2">
        <w:rPr>
          <w:rFonts w:ascii="Calibri" w:eastAsia="Times New Roman" w:hAnsi="Calibri" w:cs="Calibri"/>
          <w:color w:val="24292F"/>
          <w:sz w:val="24"/>
          <w:szCs w:val="24"/>
          <w:lang w:eastAsia="en-GB"/>
        </w:rPr>
        <w:t xml:space="preserve">We have included foreseeable hazards, but the intention is to update the hazard log if additional hazards come to light. </w:t>
      </w:r>
      <w:r w:rsidRPr="00EB2D47">
        <w:rPr>
          <w:rFonts w:ascii="Calibri" w:eastAsia="Times New Roman" w:hAnsi="Calibri" w:cs="Calibri"/>
          <w:color w:val="24292F"/>
          <w:sz w:val="24"/>
          <w:szCs w:val="24"/>
          <w:lang w:eastAsia="en-GB"/>
        </w:rPr>
        <w:t>Explanations of each column are shown, below.</w:t>
      </w:r>
    </w:p>
    <w:p w14:paraId="5A77402C" w14:textId="77777777" w:rsidR="00EB2D47" w:rsidRPr="00EB2D47" w:rsidRDefault="00EB2D47" w:rsidP="00EB2D47">
      <w:pPr>
        <w:numPr>
          <w:ilvl w:val="0"/>
          <w:numId w:val="1"/>
        </w:numPr>
        <w:shd w:val="clear" w:color="auto" w:fill="FFFFFF"/>
        <w:spacing w:before="100" w:beforeAutospacing="1"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Number</w:t>
      </w:r>
      <w:r w:rsidRPr="00EB2D47">
        <w:rPr>
          <w:rFonts w:ascii="Calibri" w:eastAsia="Times New Roman" w:hAnsi="Calibri" w:cs="Calibri"/>
          <w:color w:val="24292F"/>
          <w:sz w:val="24"/>
          <w:szCs w:val="24"/>
          <w:lang w:eastAsia="en-GB"/>
        </w:rPr>
        <w:t>: An increasing index to identify and tally the count of hazards logged.</w:t>
      </w:r>
    </w:p>
    <w:p w14:paraId="2BE5ACBB" w14:textId="4FB8B4CC" w:rsidR="00EB2D47" w:rsidRPr="00EB2D47" w:rsidRDefault="00EB2D47" w:rsidP="00EB2D47">
      <w:pPr>
        <w:numPr>
          <w:ilvl w:val="0"/>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Date</w:t>
      </w:r>
      <w:r w:rsidRPr="00EB2D47">
        <w:rPr>
          <w:rFonts w:ascii="Calibri" w:eastAsia="Times New Roman" w:hAnsi="Calibri" w:cs="Calibri"/>
          <w:color w:val="24292F"/>
          <w:sz w:val="24"/>
          <w:szCs w:val="24"/>
          <w:lang w:eastAsia="en-GB"/>
        </w:rPr>
        <w:t>: The date on which t</w:t>
      </w:r>
      <w:r w:rsidR="00A820A2">
        <w:rPr>
          <w:rFonts w:ascii="Calibri" w:eastAsia="Times New Roman" w:hAnsi="Calibri" w:cs="Calibri"/>
          <w:color w:val="24292F"/>
          <w:sz w:val="24"/>
          <w:szCs w:val="24"/>
          <w:lang w:eastAsia="en-GB"/>
        </w:rPr>
        <w:t>he hazard was logged. The forma</w:t>
      </w:r>
      <w:r w:rsidRPr="00EB2D47">
        <w:rPr>
          <w:rFonts w:ascii="Calibri" w:eastAsia="Times New Roman" w:hAnsi="Calibri" w:cs="Calibri"/>
          <w:color w:val="24292F"/>
          <w:sz w:val="24"/>
          <w:szCs w:val="24"/>
          <w:lang w:eastAsia="en-GB"/>
        </w:rPr>
        <w:t>t should be DD/MM/YYYY.</w:t>
      </w:r>
    </w:p>
    <w:p w14:paraId="2520461F" w14:textId="77777777" w:rsidR="00EB2D47" w:rsidRPr="00EB2D47" w:rsidRDefault="00EB2D47" w:rsidP="00EB2D47">
      <w:pPr>
        <w:numPr>
          <w:ilvl w:val="0"/>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Hazard</w:t>
      </w:r>
      <w:r w:rsidRPr="00EB2D47">
        <w:rPr>
          <w:rFonts w:ascii="Calibri" w:eastAsia="Times New Roman" w:hAnsi="Calibri" w:cs="Calibri"/>
          <w:color w:val="24292F"/>
          <w:sz w:val="24"/>
          <w:szCs w:val="24"/>
          <w:lang w:eastAsia="en-GB"/>
        </w:rPr>
        <w:t>: A short description of the hazard.</w:t>
      </w:r>
    </w:p>
    <w:p w14:paraId="622ED1FA" w14:textId="77777777" w:rsidR="00EB2D47" w:rsidRPr="00EB2D47" w:rsidRDefault="00EB2D47" w:rsidP="00EB2D47">
      <w:pPr>
        <w:numPr>
          <w:ilvl w:val="0"/>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GitHub Issue</w:t>
      </w:r>
      <w:r w:rsidRPr="00EB2D47">
        <w:rPr>
          <w:rFonts w:ascii="Calibri" w:eastAsia="Times New Roman" w:hAnsi="Calibri" w:cs="Calibri"/>
          <w:color w:val="24292F"/>
          <w:sz w:val="24"/>
          <w:szCs w:val="24"/>
          <w:lang w:eastAsia="en-GB"/>
        </w:rPr>
        <w:t>: The unique numeric identifier associated with every Issue that is posted as an ACMI repository Issue. Every hazard much be raised, discussed and closed as a </w:t>
      </w:r>
      <w:r>
        <w:rPr>
          <w:rFonts w:ascii="Calibri" w:eastAsia="Times New Roman" w:hAnsi="Calibri" w:cs="Calibri"/>
          <w:color w:val="24292F"/>
          <w:sz w:val="24"/>
          <w:szCs w:val="24"/>
          <w:lang w:eastAsia="en-GB"/>
        </w:rPr>
        <w:t>GitHub issue.</w:t>
      </w:r>
    </w:p>
    <w:p w14:paraId="393A3EEF" w14:textId="77777777" w:rsidR="00EB2D47" w:rsidRPr="00EB2D47" w:rsidRDefault="00EB2D47" w:rsidP="00EB2D47">
      <w:pPr>
        <w:numPr>
          <w:ilvl w:val="0"/>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Hazard Likelihood</w:t>
      </w:r>
      <w:r w:rsidRPr="00EB2D47">
        <w:rPr>
          <w:rFonts w:ascii="Calibri" w:eastAsia="Times New Roman" w:hAnsi="Calibri" w:cs="Calibri"/>
          <w:color w:val="24292F"/>
          <w:sz w:val="24"/>
          <w:szCs w:val="24"/>
          <w:lang w:eastAsia="en-GB"/>
        </w:rPr>
        <w:t>: The subjective likelihood of the hazard occur</w:t>
      </w:r>
      <w:r>
        <w:rPr>
          <w:rFonts w:ascii="Calibri" w:eastAsia="Times New Roman" w:hAnsi="Calibri" w:cs="Calibri"/>
          <w:color w:val="24292F"/>
          <w:sz w:val="24"/>
          <w:szCs w:val="24"/>
          <w:lang w:eastAsia="en-GB"/>
        </w:rPr>
        <w:t>r</w:t>
      </w:r>
      <w:r w:rsidRPr="00EB2D47">
        <w:rPr>
          <w:rFonts w:ascii="Calibri" w:eastAsia="Times New Roman" w:hAnsi="Calibri" w:cs="Calibri"/>
          <w:color w:val="24292F"/>
          <w:sz w:val="24"/>
          <w:szCs w:val="24"/>
          <w:lang w:eastAsia="en-GB"/>
        </w:rPr>
        <w:t>ing. Options are "High" (highly likely, score of 3), "Moderate" (moderately likely, score of 2), "Low" (unlikely, score of 1).</w:t>
      </w:r>
    </w:p>
    <w:p w14:paraId="0A8D2BDF" w14:textId="77777777" w:rsidR="00EB2D47" w:rsidRPr="00EB2D47" w:rsidRDefault="00EB2D47" w:rsidP="00EB2D47">
      <w:pPr>
        <w:numPr>
          <w:ilvl w:val="0"/>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Hazard Impact</w:t>
      </w:r>
      <w:r w:rsidRPr="00EB2D47">
        <w:rPr>
          <w:rFonts w:ascii="Calibri" w:eastAsia="Times New Roman" w:hAnsi="Calibri" w:cs="Calibri"/>
          <w:color w:val="24292F"/>
          <w:sz w:val="24"/>
          <w:szCs w:val="24"/>
          <w:lang w:eastAsia="en-GB"/>
        </w:rPr>
        <w:t>: The subjective magnitude of harm should the hazard be realised. Options are "High" (very harmful, score of 3), "Moderate" (moderately harmful, score of 2), "Low" (very low harm, score of 1).</w:t>
      </w:r>
    </w:p>
    <w:p w14:paraId="64D8C3B4" w14:textId="77777777" w:rsidR="00EB2D47" w:rsidRPr="00EB2D47" w:rsidRDefault="00EB2D47" w:rsidP="00EB2D47">
      <w:pPr>
        <w:numPr>
          <w:ilvl w:val="0"/>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Risk</w:t>
      </w:r>
      <w:r w:rsidRPr="00EB2D47">
        <w:rPr>
          <w:rFonts w:ascii="Calibri" w:eastAsia="Times New Roman" w:hAnsi="Calibri" w:cs="Calibri"/>
          <w:color w:val="24292F"/>
          <w:sz w:val="24"/>
          <w:szCs w:val="24"/>
          <w:lang w:eastAsia="en-GB"/>
        </w:rPr>
        <w:t>: The product of Hazard Likelihood and Hazard Impact. Calculate the Risk by multiplying the Hazard Likelihood score by the Hazard Impact score. For example, a hazard that is highly likely ("High", Hazard Likelihood score = 3) but that that is not very harmful ("Low", very low harm = 1) has a Risk score = 3 x 1 = 3. The Risk associated with each Risk score are:</w:t>
      </w:r>
    </w:p>
    <w:p w14:paraId="6AD8CB58" w14:textId="77777777" w:rsidR="00EB2D47" w:rsidRPr="00EB2D47" w:rsidRDefault="00EB2D47" w:rsidP="00EB2D47">
      <w:pPr>
        <w:numPr>
          <w:ilvl w:val="1"/>
          <w:numId w:val="1"/>
        </w:numPr>
        <w:shd w:val="clear" w:color="auto" w:fill="FFFFFF"/>
        <w:spacing w:before="100" w:beforeAutospacing="1"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color w:val="24292F"/>
          <w:sz w:val="24"/>
          <w:szCs w:val="24"/>
          <w:lang w:eastAsia="en-GB"/>
        </w:rPr>
        <w:t>"High" 6 - 9</w:t>
      </w:r>
    </w:p>
    <w:p w14:paraId="19FDF1F2" w14:textId="77777777" w:rsidR="00EB2D47" w:rsidRPr="00EB2D47" w:rsidRDefault="00EB2D47" w:rsidP="00EB2D47">
      <w:pPr>
        <w:numPr>
          <w:ilvl w:val="1"/>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color w:val="24292F"/>
          <w:sz w:val="24"/>
          <w:szCs w:val="24"/>
          <w:lang w:eastAsia="en-GB"/>
        </w:rPr>
        <w:t>"Moderate" 3 - 4</w:t>
      </w:r>
    </w:p>
    <w:p w14:paraId="3E3797DF" w14:textId="77777777" w:rsidR="00EB2D47" w:rsidRPr="00EB2D47" w:rsidRDefault="00EB2D47" w:rsidP="00EB2D47">
      <w:pPr>
        <w:numPr>
          <w:ilvl w:val="1"/>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color w:val="24292F"/>
          <w:sz w:val="24"/>
          <w:szCs w:val="24"/>
          <w:lang w:eastAsia="en-GB"/>
        </w:rPr>
        <w:t>"Low" 1 - 2 Therefore, our hypothetical hazard has a moderate risk.</w:t>
      </w:r>
    </w:p>
    <w:p w14:paraId="75CA205F" w14:textId="77777777" w:rsidR="00EB2D47" w:rsidRPr="00EB2D47" w:rsidRDefault="00EB2D47" w:rsidP="00EB2D47">
      <w:pPr>
        <w:numPr>
          <w:ilvl w:val="0"/>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Mitigation</w:t>
      </w:r>
      <w:r w:rsidRPr="00EB2D47">
        <w:rPr>
          <w:rFonts w:ascii="Calibri" w:eastAsia="Times New Roman" w:hAnsi="Calibri" w:cs="Calibri"/>
          <w:color w:val="24292F"/>
          <w:sz w:val="24"/>
          <w:szCs w:val="24"/>
          <w:lang w:eastAsia="en-GB"/>
        </w:rPr>
        <w:t>: Details of the steps taken to re</w:t>
      </w:r>
      <w:r>
        <w:rPr>
          <w:rFonts w:ascii="Calibri" w:eastAsia="Times New Roman" w:hAnsi="Calibri" w:cs="Calibri"/>
          <w:color w:val="24292F"/>
          <w:sz w:val="24"/>
          <w:szCs w:val="24"/>
          <w:lang w:eastAsia="en-GB"/>
        </w:rPr>
        <w:t>duce either the Hazard Likeliho</w:t>
      </w:r>
      <w:r w:rsidRPr="00EB2D47">
        <w:rPr>
          <w:rFonts w:ascii="Calibri" w:eastAsia="Times New Roman" w:hAnsi="Calibri" w:cs="Calibri"/>
          <w:color w:val="24292F"/>
          <w:sz w:val="24"/>
          <w:szCs w:val="24"/>
          <w:lang w:eastAsia="en-GB"/>
        </w:rPr>
        <w:t>od or the Hazard Impact, or both.</w:t>
      </w:r>
    </w:p>
    <w:p w14:paraId="6648DEF6" w14:textId="77777777" w:rsidR="00EB2D47" w:rsidRPr="00EB2D47" w:rsidRDefault="00EB2D47" w:rsidP="00EB2D47">
      <w:pPr>
        <w:numPr>
          <w:ilvl w:val="0"/>
          <w:numId w:val="1"/>
        </w:numPr>
        <w:shd w:val="clear" w:color="auto" w:fill="FFFFFF"/>
        <w:spacing w:before="60" w:after="100" w:afterAutospacing="1" w:line="240" w:lineRule="auto"/>
        <w:rPr>
          <w:rFonts w:ascii="Calibri" w:eastAsia="Times New Roman" w:hAnsi="Calibri" w:cs="Calibri"/>
          <w:color w:val="24292F"/>
          <w:sz w:val="24"/>
          <w:szCs w:val="24"/>
          <w:lang w:eastAsia="en-GB"/>
        </w:rPr>
      </w:pPr>
      <w:r w:rsidRPr="00EB2D47">
        <w:rPr>
          <w:rFonts w:ascii="Calibri" w:eastAsia="Times New Roman" w:hAnsi="Calibri" w:cs="Calibri"/>
          <w:b/>
          <w:bCs/>
          <w:color w:val="24292F"/>
          <w:sz w:val="24"/>
          <w:szCs w:val="24"/>
          <w:lang w:eastAsia="en-GB"/>
        </w:rPr>
        <w:t>Updated Risk</w:t>
      </w:r>
      <w:r w:rsidRPr="00EB2D47">
        <w:rPr>
          <w:rFonts w:ascii="Calibri" w:eastAsia="Times New Roman" w:hAnsi="Calibri" w:cs="Calibri"/>
          <w:color w:val="24292F"/>
          <w:sz w:val="24"/>
          <w:szCs w:val="24"/>
          <w:lang w:eastAsia="en-GB"/>
        </w:rPr>
        <w:t>: A recalculation of the Risk in the context of the mitigations. Please, note the updated Hazard Likelihood score, Hazard Impact score, and updated Risk score in addition to the Updated Risk.</w:t>
      </w:r>
    </w:p>
    <w:p w14:paraId="149E665A" w14:textId="77777777" w:rsidR="00EB2D47" w:rsidRDefault="00EB2D47"/>
    <w:tbl>
      <w:tblPr>
        <w:tblStyle w:val="TableGrid"/>
        <w:tblW w:w="14879" w:type="dxa"/>
        <w:tblLook w:val="04A0" w:firstRow="1" w:lastRow="0" w:firstColumn="1" w:lastColumn="0" w:noHBand="0" w:noVBand="1"/>
      </w:tblPr>
      <w:tblGrid>
        <w:gridCol w:w="1068"/>
        <w:gridCol w:w="1337"/>
        <w:gridCol w:w="2166"/>
        <w:gridCol w:w="959"/>
        <w:gridCol w:w="1296"/>
        <w:gridCol w:w="1166"/>
        <w:gridCol w:w="1643"/>
        <w:gridCol w:w="3654"/>
        <w:gridCol w:w="1590"/>
      </w:tblGrid>
      <w:tr w:rsidR="00EB2D47" w14:paraId="0D013F54" w14:textId="77777777" w:rsidTr="00206A78">
        <w:tc>
          <w:tcPr>
            <w:tcW w:w="1068" w:type="dxa"/>
            <w:vAlign w:val="center"/>
          </w:tcPr>
          <w:p w14:paraId="1BC93C27" w14:textId="77777777" w:rsidR="00EB2D47" w:rsidRDefault="00EB2D47" w:rsidP="00EB2D47">
            <w:pPr>
              <w:jc w:val="center"/>
              <w:rPr>
                <w:rFonts w:ascii="Segoe UI" w:hAnsi="Segoe UI" w:cs="Segoe UI"/>
                <w:b/>
                <w:bCs/>
                <w:color w:val="24292F"/>
              </w:rPr>
            </w:pPr>
            <w:r>
              <w:rPr>
                <w:rFonts w:ascii="Segoe UI" w:hAnsi="Segoe UI" w:cs="Segoe UI"/>
                <w:b/>
                <w:bCs/>
                <w:color w:val="24292F"/>
              </w:rPr>
              <w:t>Number</w:t>
            </w:r>
          </w:p>
        </w:tc>
        <w:tc>
          <w:tcPr>
            <w:tcW w:w="1337" w:type="dxa"/>
            <w:vAlign w:val="center"/>
          </w:tcPr>
          <w:p w14:paraId="12155327" w14:textId="77777777" w:rsidR="00EB2D47" w:rsidRDefault="00EB2D47" w:rsidP="00EB2D47">
            <w:pPr>
              <w:jc w:val="center"/>
              <w:rPr>
                <w:rFonts w:ascii="Segoe UI" w:hAnsi="Segoe UI" w:cs="Segoe UI"/>
                <w:b/>
                <w:bCs/>
                <w:color w:val="24292F"/>
              </w:rPr>
            </w:pPr>
            <w:r>
              <w:rPr>
                <w:rFonts w:ascii="Segoe UI" w:hAnsi="Segoe UI" w:cs="Segoe UI"/>
                <w:b/>
                <w:bCs/>
                <w:color w:val="24292F"/>
              </w:rPr>
              <w:t>Date</w:t>
            </w:r>
          </w:p>
        </w:tc>
        <w:tc>
          <w:tcPr>
            <w:tcW w:w="2166" w:type="dxa"/>
            <w:vAlign w:val="center"/>
          </w:tcPr>
          <w:p w14:paraId="5723AE5F" w14:textId="77777777" w:rsidR="00EB2D47" w:rsidRDefault="00EB2D47" w:rsidP="00EB2D47">
            <w:pPr>
              <w:jc w:val="center"/>
              <w:rPr>
                <w:rFonts w:ascii="Segoe UI" w:hAnsi="Segoe UI" w:cs="Segoe UI"/>
                <w:b/>
                <w:bCs/>
                <w:color w:val="24292F"/>
              </w:rPr>
            </w:pPr>
            <w:r>
              <w:rPr>
                <w:rFonts w:ascii="Segoe UI" w:hAnsi="Segoe UI" w:cs="Segoe UI"/>
                <w:b/>
                <w:bCs/>
                <w:color w:val="24292F"/>
              </w:rPr>
              <w:t>Hazard</w:t>
            </w:r>
          </w:p>
        </w:tc>
        <w:tc>
          <w:tcPr>
            <w:tcW w:w="959" w:type="dxa"/>
            <w:vAlign w:val="center"/>
          </w:tcPr>
          <w:p w14:paraId="0EE55CFD" w14:textId="77777777" w:rsidR="00EB2D47" w:rsidRDefault="00EB2D47" w:rsidP="00EB2D47">
            <w:pPr>
              <w:jc w:val="center"/>
              <w:rPr>
                <w:rFonts w:ascii="Segoe UI" w:hAnsi="Segoe UI" w:cs="Segoe UI"/>
                <w:b/>
                <w:bCs/>
                <w:color w:val="24292F"/>
              </w:rPr>
            </w:pPr>
            <w:r>
              <w:rPr>
                <w:rFonts w:ascii="Segoe UI" w:hAnsi="Segoe UI" w:cs="Segoe UI"/>
                <w:b/>
                <w:bCs/>
                <w:color w:val="24292F"/>
              </w:rPr>
              <w:t>GitHub Issue</w:t>
            </w:r>
          </w:p>
        </w:tc>
        <w:tc>
          <w:tcPr>
            <w:tcW w:w="1296" w:type="dxa"/>
            <w:vAlign w:val="center"/>
          </w:tcPr>
          <w:p w14:paraId="102D0DA9" w14:textId="77777777" w:rsidR="00EB2D47" w:rsidRDefault="00EB2D47" w:rsidP="00EB2D47">
            <w:pPr>
              <w:jc w:val="center"/>
              <w:rPr>
                <w:rFonts w:ascii="Segoe UI" w:hAnsi="Segoe UI" w:cs="Segoe UI"/>
                <w:b/>
                <w:bCs/>
                <w:color w:val="24292F"/>
              </w:rPr>
            </w:pPr>
            <w:r>
              <w:rPr>
                <w:rFonts w:ascii="Segoe UI" w:hAnsi="Segoe UI" w:cs="Segoe UI"/>
                <w:b/>
                <w:bCs/>
                <w:color w:val="24292F"/>
              </w:rPr>
              <w:t>Hazard Likelihood</w:t>
            </w:r>
          </w:p>
        </w:tc>
        <w:tc>
          <w:tcPr>
            <w:tcW w:w="1166" w:type="dxa"/>
            <w:vAlign w:val="center"/>
          </w:tcPr>
          <w:p w14:paraId="2B71C544" w14:textId="77777777" w:rsidR="00EB2D47" w:rsidRDefault="00EB2D47" w:rsidP="00EB2D47">
            <w:pPr>
              <w:jc w:val="center"/>
              <w:rPr>
                <w:rFonts w:ascii="Segoe UI" w:hAnsi="Segoe UI" w:cs="Segoe UI"/>
                <w:b/>
                <w:bCs/>
                <w:color w:val="24292F"/>
              </w:rPr>
            </w:pPr>
            <w:r>
              <w:rPr>
                <w:rFonts w:ascii="Segoe UI" w:hAnsi="Segoe UI" w:cs="Segoe UI"/>
                <w:b/>
                <w:bCs/>
                <w:color w:val="24292F"/>
              </w:rPr>
              <w:t>Hazard Impact</w:t>
            </w:r>
          </w:p>
        </w:tc>
        <w:tc>
          <w:tcPr>
            <w:tcW w:w="1643" w:type="dxa"/>
            <w:vAlign w:val="center"/>
          </w:tcPr>
          <w:p w14:paraId="46A9965F" w14:textId="77777777" w:rsidR="00EB2D47" w:rsidRDefault="00EB2D47" w:rsidP="00EB2D47">
            <w:pPr>
              <w:jc w:val="center"/>
              <w:rPr>
                <w:rFonts w:ascii="Segoe UI" w:hAnsi="Segoe UI" w:cs="Segoe UI"/>
                <w:b/>
                <w:bCs/>
                <w:color w:val="24292F"/>
              </w:rPr>
            </w:pPr>
            <w:r>
              <w:rPr>
                <w:rFonts w:ascii="Segoe UI" w:hAnsi="Segoe UI" w:cs="Segoe UI"/>
                <w:b/>
                <w:bCs/>
                <w:color w:val="24292F"/>
              </w:rPr>
              <w:t>Risk</w:t>
            </w:r>
          </w:p>
        </w:tc>
        <w:tc>
          <w:tcPr>
            <w:tcW w:w="3654" w:type="dxa"/>
            <w:vAlign w:val="center"/>
          </w:tcPr>
          <w:p w14:paraId="72FA9E17" w14:textId="77777777" w:rsidR="00EB2D47" w:rsidRDefault="00EB2D47" w:rsidP="00EB2D47">
            <w:pPr>
              <w:jc w:val="center"/>
              <w:rPr>
                <w:rFonts w:ascii="Segoe UI" w:hAnsi="Segoe UI" w:cs="Segoe UI"/>
                <w:b/>
                <w:bCs/>
                <w:color w:val="24292F"/>
              </w:rPr>
            </w:pPr>
            <w:r>
              <w:rPr>
                <w:rFonts w:ascii="Segoe UI" w:hAnsi="Segoe UI" w:cs="Segoe UI"/>
                <w:b/>
                <w:bCs/>
                <w:color w:val="24292F"/>
              </w:rPr>
              <w:t>Mitigation</w:t>
            </w:r>
          </w:p>
        </w:tc>
        <w:tc>
          <w:tcPr>
            <w:tcW w:w="1590" w:type="dxa"/>
            <w:vAlign w:val="center"/>
          </w:tcPr>
          <w:p w14:paraId="138FC18F" w14:textId="77777777" w:rsidR="00EB2D47" w:rsidRDefault="00EB2D47" w:rsidP="00EB2D47">
            <w:pPr>
              <w:jc w:val="center"/>
              <w:rPr>
                <w:rFonts w:ascii="Segoe UI" w:hAnsi="Segoe UI" w:cs="Segoe UI"/>
                <w:b/>
                <w:bCs/>
                <w:color w:val="24292F"/>
              </w:rPr>
            </w:pPr>
            <w:r>
              <w:rPr>
                <w:rFonts w:ascii="Segoe UI" w:hAnsi="Segoe UI" w:cs="Segoe UI"/>
                <w:b/>
                <w:bCs/>
                <w:color w:val="24292F"/>
              </w:rPr>
              <w:t>Updated Risk</w:t>
            </w:r>
          </w:p>
        </w:tc>
      </w:tr>
      <w:tr w:rsidR="00206A78" w14:paraId="6328B51F" w14:textId="77777777" w:rsidTr="00206A78">
        <w:tc>
          <w:tcPr>
            <w:tcW w:w="1068" w:type="dxa"/>
            <w:vAlign w:val="center"/>
          </w:tcPr>
          <w:p w14:paraId="7027B656" w14:textId="65798A6E" w:rsidR="00206A78" w:rsidRDefault="007828B1" w:rsidP="00EB2D47">
            <w:pPr>
              <w:rPr>
                <w:rFonts w:ascii="Segoe UI" w:hAnsi="Segoe UI" w:cs="Segoe UI"/>
                <w:color w:val="24292F"/>
              </w:rPr>
            </w:pPr>
            <w:r>
              <w:rPr>
                <w:rFonts w:ascii="Segoe UI" w:hAnsi="Segoe UI" w:cs="Segoe UI"/>
                <w:color w:val="24292F"/>
              </w:rPr>
              <w:t>1</w:t>
            </w:r>
          </w:p>
        </w:tc>
        <w:tc>
          <w:tcPr>
            <w:tcW w:w="1337" w:type="dxa"/>
            <w:vAlign w:val="center"/>
          </w:tcPr>
          <w:p w14:paraId="3E8AF408" w14:textId="3E333554" w:rsidR="00206A78" w:rsidRDefault="00206A78" w:rsidP="00EB2D47">
            <w:pPr>
              <w:rPr>
                <w:rFonts w:ascii="Segoe UI" w:hAnsi="Segoe UI" w:cs="Segoe UI"/>
                <w:color w:val="24292F"/>
              </w:rPr>
            </w:pPr>
            <w:r>
              <w:rPr>
                <w:rFonts w:ascii="Segoe UI" w:hAnsi="Segoe UI" w:cs="Segoe UI"/>
                <w:color w:val="24292F"/>
              </w:rPr>
              <w:t>30/11/22</w:t>
            </w:r>
          </w:p>
        </w:tc>
        <w:tc>
          <w:tcPr>
            <w:tcW w:w="2166" w:type="dxa"/>
            <w:vAlign w:val="center"/>
          </w:tcPr>
          <w:p w14:paraId="73C0BB3B" w14:textId="1F74D32B" w:rsidR="00206A78" w:rsidRDefault="00206A78" w:rsidP="00206A78">
            <w:pPr>
              <w:rPr>
                <w:rFonts w:ascii="Segoe UI" w:hAnsi="Segoe UI" w:cs="Segoe UI"/>
                <w:color w:val="24292F"/>
              </w:rPr>
            </w:pPr>
            <w:r>
              <w:rPr>
                <w:rFonts w:ascii="Segoe UI" w:hAnsi="Segoe UI" w:cs="Segoe UI"/>
                <w:color w:val="24292F"/>
              </w:rPr>
              <w:t xml:space="preserve">Misclassification of </w:t>
            </w:r>
            <w:r w:rsidR="007828B1">
              <w:rPr>
                <w:rFonts w:ascii="Segoe UI" w:hAnsi="Segoe UI" w:cs="Segoe UI"/>
                <w:color w:val="24292F"/>
              </w:rPr>
              <w:t xml:space="preserve">individual patient </w:t>
            </w:r>
            <w:r>
              <w:rPr>
                <w:rFonts w:ascii="Segoe UI" w:hAnsi="Segoe UI" w:cs="Segoe UI"/>
                <w:color w:val="24292F"/>
              </w:rPr>
              <w:t>risk</w:t>
            </w:r>
          </w:p>
        </w:tc>
        <w:tc>
          <w:tcPr>
            <w:tcW w:w="959" w:type="dxa"/>
            <w:vAlign w:val="center"/>
          </w:tcPr>
          <w:p w14:paraId="43DBCEF4" w14:textId="7078703D" w:rsidR="00206A78" w:rsidRDefault="00206A78" w:rsidP="00EB2D47">
            <w:pPr>
              <w:rPr>
                <w:rFonts w:ascii="Segoe UI" w:hAnsi="Segoe UI" w:cs="Segoe UI"/>
                <w:color w:val="24292F"/>
              </w:rPr>
            </w:pPr>
            <w:r>
              <w:rPr>
                <w:rFonts w:ascii="Segoe UI" w:hAnsi="Segoe UI" w:cs="Segoe UI"/>
                <w:color w:val="24292F"/>
              </w:rPr>
              <w:t>n/a</w:t>
            </w:r>
          </w:p>
        </w:tc>
        <w:tc>
          <w:tcPr>
            <w:tcW w:w="1296" w:type="dxa"/>
            <w:vAlign w:val="center"/>
          </w:tcPr>
          <w:p w14:paraId="629F3EAE" w14:textId="4E8C6A19" w:rsidR="00206A78" w:rsidRDefault="00206A78" w:rsidP="00EB2D47">
            <w:pPr>
              <w:rPr>
                <w:rFonts w:ascii="Segoe UI" w:hAnsi="Segoe UI" w:cs="Segoe UI"/>
                <w:color w:val="24292F"/>
              </w:rPr>
            </w:pPr>
            <w:r>
              <w:rPr>
                <w:rFonts w:ascii="Segoe UI" w:hAnsi="Segoe UI" w:cs="Segoe UI"/>
                <w:color w:val="24292F"/>
              </w:rPr>
              <w:t>Low</w:t>
            </w:r>
          </w:p>
        </w:tc>
        <w:tc>
          <w:tcPr>
            <w:tcW w:w="1166" w:type="dxa"/>
            <w:vAlign w:val="center"/>
          </w:tcPr>
          <w:p w14:paraId="12348376" w14:textId="582C3F3F" w:rsidR="00206A78" w:rsidRDefault="00206A78" w:rsidP="00EB2D47">
            <w:pPr>
              <w:rPr>
                <w:rFonts w:ascii="Segoe UI" w:hAnsi="Segoe UI" w:cs="Segoe UI"/>
                <w:color w:val="24292F"/>
              </w:rPr>
            </w:pPr>
            <w:r>
              <w:rPr>
                <w:rFonts w:ascii="Segoe UI" w:hAnsi="Segoe UI" w:cs="Segoe UI"/>
                <w:color w:val="24292F"/>
              </w:rPr>
              <w:t>Moderate</w:t>
            </w:r>
          </w:p>
        </w:tc>
        <w:tc>
          <w:tcPr>
            <w:tcW w:w="1643" w:type="dxa"/>
            <w:vAlign w:val="center"/>
          </w:tcPr>
          <w:p w14:paraId="03A40F13" w14:textId="2774E1DA" w:rsidR="00206A78" w:rsidRDefault="00206A78" w:rsidP="00EB2D47">
            <w:pPr>
              <w:rPr>
                <w:rFonts w:ascii="Segoe UI" w:hAnsi="Segoe UI" w:cs="Segoe UI"/>
                <w:color w:val="24292F"/>
              </w:rPr>
            </w:pPr>
            <w:r>
              <w:rPr>
                <w:rFonts w:ascii="Segoe UI" w:hAnsi="Segoe UI" w:cs="Segoe UI"/>
                <w:color w:val="24292F"/>
              </w:rPr>
              <w:t>Low</w:t>
            </w:r>
          </w:p>
        </w:tc>
        <w:tc>
          <w:tcPr>
            <w:tcW w:w="3654" w:type="dxa"/>
            <w:vAlign w:val="center"/>
          </w:tcPr>
          <w:p w14:paraId="47E31123" w14:textId="5AD680F4" w:rsidR="00206A78" w:rsidRDefault="007828B1" w:rsidP="004D7F4C">
            <w:pPr>
              <w:rPr>
                <w:rFonts w:ascii="Segoe UI" w:hAnsi="Segoe UI" w:cs="Segoe UI"/>
                <w:color w:val="24292F"/>
              </w:rPr>
            </w:pPr>
            <w:r>
              <w:rPr>
                <w:rFonts w:ascii="Segoe UI" w:hAnsi="Segoe UI" w:cs="Segoe UI"/>
                <w:color w:val="24292F"/>
              </w:rPr>
              <w:t xml:space="preserve">The eFI2 and incorporated eFI+ algorithms are population risk stratification tools. They are not able to identify individual risk. Therefore the tools should be used in conjunction with direct clinical assessment and clinical judgment before an intervention is or is not recommended by the physician. </w:t>
            </w:r>
            <w:r w:rsidRPr="004D7F4C">
              <w:rPr>
                <w:rFonts w:ascii="Segoe UI" w:hAnsi="Segoe UI" w:cs="Segoe UI"/>
                <w:color w:val="24292F"/>
              </w:rPr>
              <w:t xml:space="preserve">This is made clear in </w:t>
            </w:r>
            <w:r w:rsidR="004D7F4C" w:rsidRPr="004D7F4C">
              <w:rPr>
                <w:rFonts w:ascii="Segoe UI" w:hAnsi="Segoe UI" w:cs="Segoe UI"/>
                <w:color w:val="24292F"/>
              </w:rPr>
              <w:t>the eFI2 Instructions</w:t>
            </w:r>
          </w:p>
        </w:tc>
        <w:tc>
          <w:tcPr>
            <w:tcW w:w="1590" w:type="dxa"/>
            <w:vAlign w:val="center"/>
          </w:tcPr>
          <w:p w14:paraId="6D153F42" w14:textId="59BA7188" w:rsidR="00206A78" w:rsidRDefault="00952BD5" w:rsidP="00EB2D47">
            <w:pPr>
              <w:rPr>
                <w:rFonts w:ascii="Segoe UI" w:hAnsi="Segoe UI" w:cs="Segoe UI"/>
                <w:color w:val="24292F"/>
              </w:rPr>
            </w:pPr>
            <w:r>
              <w:rPr>
                <w:rFonts w:ascii="Segoe UI" w:hAnsi="Segoe UI" w:cs="Segoe UI"/>
                <w:color w:val="24292F"/>
              </w:rPr>
              <w:t>Low</w:t>
            </w:r>
          </w:p>
        </w:tc>
      </w:tr>
      <w:tr w:rsidR="00A16E18" w14:paraId="4E8EF50F" w14:textId="77777777" w:rsidTr="00206A78">
        <w:tc>
          <w:tcPr>
            <w:tcW w:w="1068" w:type="dxa"/>
            <w:vAlign w:val="center"/>
          </w:tcPr>
          <w:p w14:paraId="49EB3EB5" w14:textId="5638A67C" w:rsidR="00A16E18" w:rsidRDefault="008513B6" w:rsidP="008513B6">
            <w:pPr>
              <w:rPr>
                <w:rFonts w:ascii="Segoe UI" w:hAnsi="Segoe UI" w:cs="Segoe UI"/>
                <w:color w:val="24292F"/>
              </w:rPr>
            </w:pPr>
            <w:r>
              <w:rPr>
                <w:rFonts w:ascii="Segoe UI" w:hAnsi="Segoe UI" w:cs="Segoe UI"/>
                <w:color w:val="24292F"/>
              </w:rPr>
              <w:t>2</w:t>
            </w:r>
          </w:p>
        </w:tc>
        <w:tc>
          <w:tcPr>
            <w:tcW w:w="1337" w:type="dxa"/>
            <w:vAlign w:val="center"/>
          </w:tcPr>
          <w:p w14:paraId="60D192D9" w14:textId="43364A78" w:rsidR="00A16E18" w:rsidRDefault="00A16E18" w:rsidP="00EB2D47">
            <w:pPr>
              <w:rPr>
                <w:rFonts w:ascii="Segoe UI" w:hAnsi="Segoe UI" w:cs="Segoe UI"/>
                <w:color w:val="24292F"/>
              </w:rPr>
            </w:pPr>
            <w:r>
              <w:rPr>
                <w:rFonts w:ascii="Segoe UI" w:hAnsi="Segoe UI" w:cs="Segoe UI"/>
                <w:color w:val="24292F"/>
              </w:rPr>
              <w:t>30/11/22</w:t>
            </w:r>
          </w:p>
        </w:tc>
        <w:tc>
          <w:tcPr>
            <w:tcW w:w="2166" w:type="dxa"/>
            <w:vAlign w:val="center"/>
          </w:tcPr>
          <w:p w14:paraId="62FB7AA7" w14:textId="67DD3205" w:rsidR="00A16E18" w:rsidRDefault="006E6BA3" w:rsidP="00EB2D47">
            <w:pPr>
              <w:rPr>
                <w:rFonts w:ascii="Segoe UI" w:hAnsi="Segoe UI" w:cs="Segoe UI"/>
                <w:color w:val="24292F"/>
              </w:rPr>
            </w:pPr>
            <w:r>
              <w:rPr>
                <w:rFonts w:ascii="Segoe UI" w:hAnsi="Segoe UI" w:cs="Segoe UI"/>
                <w:color w:val="24292F"/>
              </w:rPr>
              <w:t>Missing SNOMED codes for a deficit</w:t>
            </w:r>
          </w:p>
        </w:tc>
        <w:tc>
          <w:tcPr>
            <w:tcW w:w="959" w:type="dxa"/>
            <w:vAlign w:val="center"/>
          </w:tcPr>
          <w:p w14:paraId="649D411E" w14:textId="50F50721" w:rsidR="00A16E18" w:rsidRDefault="00A16E18" w:rsidP="00EB2D47">
            <w:pPr>
              <w:rPr>
                <w:rFonts w:ascii="Segoe UI" w:hAnsi="Segoe UI" w:cs="Segoe UI"/>
                <w:color w:val="24292F"/>
              </w:rPr>
            </w:pPr>
            <w:r>
              <w:rPr>
                <w:rFonts w:ascii="Segoe UI" w:hAnsi="Segoe UI" w:cs="Segoe UI"/>
                <w:color w:val="24292F"/>
              </w:rPr>
              <w:t>n/a</w:t>
            </w:r>
          </w:p>
        </w:tc>
        <w:tc>
          <w:tcPr>
            <w:tcW w:w="1296" w:type="dxa"/>
            <w:vAlign w:val="center"/>
          </w:tcPr>
          <w:p w14:paraId="7FD7FDAD" w14:textId="64416E3A" w:rsidR="00A16E18" w:rsidRDefault="00A16E18" w:rsidP="00EB2D47">
            <w:pPr>
              <w:rPr>
                <w:rFonts w:ascii="Segoe UI" w:hAnsi="Segoe UI" w:cs="Segoe UI"/>
                <w:color w:val="24292F"/>
              </w:rPr>
            </w:pPr>
            <w:r>
              <w:rPr>
                <w:rFonts w:ascii="Segoe UI" w:hAnsi="Segoe UI" w:cs="Segoe UI"/>
                <w:color w:val="24292F"/>
              </w:rPr>
              <w:t>Low</w:t>
            </w:r>
          </w:p>
        </w:tc>
        <w:tc>
          <w:tcPr>
            <w:tcW w:w="1166" w:type="dxa"/>
            <w:vAlign w:val="center"/>
          </w:tcPr>
          <w:p w14:paraId="1C2BD7A0" w14:textId="1E183050" w:rsidR="00A16E18" w:rsidRDefault="00A16E18" w:rsidP="00EB2D47">
            <w:pPr>
              <w:rPr>
                <w:rFonts w:ascii="Segoe UI" w:hAnsi="Segoe UI" w:cs="Segoe UI"/>
                <w:color w:val="24292F"/>
              </w:rPr>
            </w:pPr>
            <w:r>
              <w:rPr>
                <w:rFonts w:ascii="Segoe UI" w:hAnsi="Segoe UI" w:cs="Segoe UI"/>
                <w:color w:val="24292F"/>
              </w:rPr>
              <w:t>Low</w:t>
            </w:r>
          </w:p>
        </w:tc>
        <w:tc>
          <w:tcPr>
            <w:tcW w:w="1643" w:type="dxa"/>
            <w:vAlign w:val="center"/>
          </w:tcPr>
          <w:p w14:paraId="58FBDFAD" w14:textId="56E5539C" w:rsidR="00A16E18" w:rsidRDefault="00A16E18" w:rsidP="00EB2D47">
            <w:pPr>
              <w:rPr>
                <w:rFonts w:ascii="Segoe UI" w:hAnsi="Segoe UI" w:cs="Segoe UI"/>
                <w:color w:val="24292F"/>
              </w:rPr>
            </w:pPr>
            <w:r>
              <w:rPr>
                <w:rFonts w:ascii="Segoe UI" w:hAnsi="Segoe UI" w:cs="Segoe UI"/>
                <w:color w:val="24292F"/>
              </w:rPr>
              <w:t>Low</w:t>
            </w:r>
          </w:p>
        </w:tc>
        <w:tc>
          <w:tcPr>
            <w:tcW w:w="3654" w:type="dxa"/>
            <w:vAlign w:val="center"/>
          </w:tcPr>
          <w:p w14:paraId="51C0E5C9" w14:textId="672AE8BD" w:rsidR="00A16E18" w:rsidRDefault="00A16E18" w:rsidP="00A16E18">
            <w:pPr>
              <w:rPr>
                <w:rFonts w:ascii="Segoe UI" w:hAnsi="Segoe UI" w:cs="Segoe UI"/>
                <w:color w:val="24292F"/>
              </w:rPr>
            </w:pPr>
            <w:r>
              <w:rPr>
                <w:rFonts w:ascii="Segoe UI" w:hAnsi="Segoe UI" w:cs="Segoe UI"/>
                <w:color w:val="24292F"/>
              </w:rPr>
              <w:t xml:space="preserve">The developers of the eFI2 and eFI+ have made every effort to ensure relevant SNOMED codes have been included to identify deficits. Should a user identify a code that has not been included, contact can be made with the developers (see risk </w:t>
            </w:r>
            <w:r w:rsidR="00206A78">
              <w:rPr>
                <w:rFonts w:ascii="Segoe UI" w:hAnsi="Segoe UI" w:cs="Segoe UI"/>
                <w:color w:val="24292F"/>
              </w:rPr>
              <w:t>management</w:t>
            </w:r>
            <w:r>
              <w:rPr>
                <w:rFonts w:ascii="Segoe UI" w:hAnsi="Segoe UI" w:cs="Segoe UI"/>
                <w:color w:val="24292F"/>
              </w:rPr>
              <w:t xml:space="preserve"> plan)</w:t>
            </w:r>
            <w:r w:rsidR="00AE6E19">
              <w:rPr>
                <w:rFonts w:ascii="Segoe UI" w:hAnsi="Segoe UI" w:cs="Segoe UI"/>
                <w:color w:val="24292F"/>
              </w:rPr>
              <w:t xml:space="preserve"> and the code can be incorporated </w:t>
            </w:r>
            <w:r w:rsidR="00A820A2">
              <w:rPr>
                <w:rFonts w:ascii="Segoe UI" w:hAnsi="Segoe UI" w:cs="Segoe UI"/>
                <w:color w:val="24292F"/>
              </w:rPr>
              <w:t>where appropriate.</w:t>
            </w:r>
          </w:p>
        </w:tc>
        <w:tc>
          <w:tcPr>
            <w:tcW w:w="1590" w:type="dxa"/>
            <w:vAlign w:val="center"/>
          </w:tcPr>
          <w:p w14:paraId="703C261C" w14:textId="474945BF" w:rsidR="00A16E18" w:rsidRDefault="00952BD5" w:rsidP="00EB2D47">
            <w:pPr>
              <w:rPr>
                <w:rFonts w:ascii="Segoe UI" w:hAnsi="Segoe UI" w:cs="Segoe UI"/>
                <w:color w:val="24292F"/>
              </w:rPr>
            </w:pPr>
            <w:r>
              <w:rPr>
                <w:rFonts w:ascii="Segoe UI" w:hAnsi="Segoe UI" w:cs="Segoe UI"/>
                <w:color w:val="24292F"/>
              </w:rPr>
              <w:t>Low</w:t>
            </w:r>
          </w:p>
        </w:tc>
      </w:tr>
      <w:tr w:rsidR="00A820A2" w14:paraId="3BAE0B60" w14:textId="77777777" w:rsidTr="00206A78">
        <w:tc>
          <w:tcPr>
            <w:tcW w:w="1068" w:type="dxa"/>
            <w:vAlign w:val="center"/>
          </w:tcPr>
          <w:p w14:paraId="51B5347F" w14:textId="7208ED61" w:rsidR="00A820A2" w:rsidRDefault="00A820A2" w:rsidP="00A820A2">
            <w:pPr>
              <w:rPr>
                <w:rFonts w:ascii="Segoe UI" w:hAnsi="Segoe UI" w:cs="Segoe UI"/>
                <w:color w:val="24292F"/>
              </w:rPr>
            </w:pPr>
            <w:r>
              <w:rPr>
                <w:rFonts w:ascii="Segoe UI" w:hAnsi="Segoe UI" w:cs="Segoe UI"/>
                <w:color w:val="24292F"/>
              </w:rPr>
              <w:t>3</w:t>
            </w:r>
          </w:p>
        </w:tc>
        <w:tc>
          <w:tcPr>
            <w:tcW w:w="1337" w:type="dxa"/>
            <w:vAlign w:val="center"/>
          </w:tcPr>
          <w:p w14:paraId="2FABDA0F" w14:textId="519F208E" w:rsidR="00A820A2" w:rsidRDefault="00A820A2" w:rsidP="00A820A2">
            <w:pPr>
              <w:rPr>
                <w:rFonts w:ascii="Segoe UI" w:hAnsi="Segoe UI" w:cs="Segoe UI"/>
                <w:color w:val="24292F"/>
              </w:rPr>
            </w:pPr>
            <w:r>
              <w:rPr>
                <w:rFonts w:ascii="Segoe UI" w:hAnsi="Segoe UI" w:cs="Segoe UI"/>
                <w:color w:val="24292F"/>
              </w:rPr>
              <w:t>30/11/22</w:t>
            </w:r>
          </w:p>
        </w:tc>
        <w:tc>
          <w:tcPr>
            <w:tcW w:w="2166" w:type="dxa"/>
            <w:vAlign w:val="center"/>
          </w:tcPr>
          <w:p w14:paraId="6ED936D5" w14:textId="265342E6" w:rsidR="00A820A2" w:rsidRDefault="00A820A2" w:rsidP="00A820A2">
            <w:pPr>
              <w:rPr>
                <w:rFonts w:ascii="Segoe UI" w:hAnsi="Segoe UI" w:cs="Segoe UI"/>
                <w:color w:val="24292F"/>
              </w:rPr>
            </w:pPr>
            <w:r>
              <w:rPr>
                <w:rFonts w:ascii="Segoe UI" w:hAnsi="Segoe UI" w:cs="Segoe UI"/>
                <w:color w:val="24292F"/>
              </w:rPr>
              <w:t>Incorrect SNOMED code contributing to a deficit</w:t>
            </w:r>
          </w:p>
        </w:tc>
        <w:tc>
          <w:tcPr>
            <w:tcW w:w="959" w:type="dxa"/>
            <w:vAlign w:val="center"/>
          </w:tcPr>
          <w:p w14:paraId="1E196ADD" w14:textId="5A276B13" w:rsidR="00A820A2" w:rsidRDefault="00A820A2" w:rsidP="00A820A2">
            <w:pPr>
              <w:rPr>
                <w:rFonts w:ascii="Segoe UI" w:hAnsi="Segoe UI" w:cs="Segoe UI"/>
                <w:color w:val="24292F"/>
              </w:rPr>
            </w:pPr>
            <w:r>
              <w:rPr>
                <w:rFonts w:ascii="Segoe UI" w:hAnsi="Segoe UI" w:cs="Segoe UI"/>
                <w:color w:val="24292F"/>
              </w:rPr>
              <w:t>n/a</w:t>
            </w:r>
          </w:p>
        </w:tc>
        <w:tc>
          <w:tcPr>
            <w:tcW w:w="1296" w:type="dxa"/>
            <w:vAlign w:val="center"/>
          </w:tcPr>
          <w:p w14:paraId="50255FE6" w14:textId="354399C2" w:rsidR="00A820A2" w:rsidRDefault="00A820A2" w:rsidP="00A820A2">
            <w:pPr>
              <w:rPr>
                <w:rFonts w:ascii="Segoe UI" w:hAnsi="Segoe UI" w:cs="Segoe UI"/>
                <w:color w:val="24292F"/>
              </w:rPr>
            </w:pPr>
            <w:r>
              <w:rPr>
                <w:rFonts w:ascii="Segoe UI" w:hAnsi="Segoe UI" w:cs="Segoe UI"/>
                <w:color w:val="24292F"/>
              </w:rPr>
              <w:t>Low</w:t>
            </w:r>
          </w:p>
        </w:tc>
        <w:tc>
          <w:tcPr>
            <w:tcW w:w="1166" w:type="dxa"/>
            <w:vAlign w:val="center"/>
          </w:tcPr>
          <w:p w14:paraId="44DCDC90" w14:textId="7D6E89DB" w:rsidR="00A820A2" w:rsidRDefault="00A820A2" w:rsidP="00A820A2">
            <w:pPr>
              <w:rPr>
                <w:rFonts w:ascii="Segoe UI" w:hAnsi="Segoe UI" w:cs="Segoe UI"/>
                <w:color w:val="24292F"/>
              </w:rPr>
            </w:pPr>
            <w:r>
              <w:rPr>
                <w:rFonts w:ascii="Segoe UI" w:hAnsi="Segoe UI" w:cs="Segoe UI"/>
                <w:color w:val="24292F"/>
              </w:rPr>
              <w:t>Low</w:t>
            </w:r>
          </w:p>
        </w:tc>
        <w:tc>
          <w:tcPr>
            <w:tcW w:w="1643" w:type="dxa"/>
            <w:vAlign w:val="center"/>
          </w:tcPr>
          <w:p w14:paraId="68064A44" w14:textId="14AB835C" w:rsidR="00A820A2" w:rsidRDefault="00A820A2" w:rsidP="00A820A2">
            <w:pPr>
              <w:rPr>
                <w:rFonts w:ascii="Segoe UI" w:hAnsi="Segoe UI" w:cs="Segoe UI"/>
                <w:color w:val="24292F"/>
              </w:rPr>
            </w:pPr>
            <w:r>
              <w:rPr>
                <w:rFonts w:ascii="Segoe UI" w:hAnsi="Segoe UI" w:cs="Segoe UI"/>
                <w:color w:val="24292F"/>
              </w:rPr>
              <w:t>Low</w:t>
            </w:r>
          </w:p>
        </w:tc>
        <w:tc>
          <w:tcPr>
            <w:tcW w:w="3654" w:type="dxa"/>
            <w:vAlign w:val="center"/>
          </w:tcPr>
          <w:p w14:paraId="545BF742" w14:textId="12C6235D" w:rsidR="00A820A2" w:rsidRDefault="00A820A2" w:rsidP="00A820A2">
            <w:pPr>
              <w:rPr>
                <w:rFonts w:ascii="Segoe UI" w:hAnsi="Segoe UI" w:cs="Segoe UI"/>
                <w:color w:val="24292F"/>
              </w:rPr>
            </w:pPr>
            <w:r>
              <w:rPr>
                <w:rFonts w:ascii="Segoe UI" w:hAnsi="Segoe UI" w:cs="Segoe UI"/>
                <w:color w:val="24292F"/>
              </w:rPr>
              <w:t xml:space="preserve">The developers of the eFI2 and eFI+ have made every effort to ensure relevant SNOMED codes have been included to identify deficits. Should a user identify a code that does not correctly </w:t>
            </w:r>
            <w:r>
              <w:rPr>
                <w:rFonts w:ascii="Segoe UI" w:hAnsi="Segoe UI" w:cs="Segoe UI"/>
                <w:color w:val="24292F"/>
              </w:rPr>
              <w:lastRenderedPageBreak/>
              <w:t>identify a deficit, contact can be made with the developers (see risk management plan) and the code can be removed where appropriate.</w:t>
            </w:r>
          </w:p>
        </w:tc>
        <w:tc>
          <w:tcPr>
            <w:tcW w:w="1590" w:type="dxa"/>
            <w:vAlign w:val="center"/>
          </w:tcPr>
          <w:p w14:paraId="67296FAC" w14:textId="405F0D38" w:rsidR="00A820A2" w:rsidRDefault="004D7F4C" w:rsidP="00A820A2">
            <w:pPr>
              <w:rPr>
                <w:rFonts w:ascii="Segoe UI" w:hAnsi="Segoe UI" w:cs="Segoe UI"/>
                <w:color w:val="24292F"/>
              </w:rPr>
            </w:pPr>
            <w:r>
              <w:rPr>
                <w:rFonts w:ascii="Segoe UI" w:hAnsi="Segoe UI" w:cs="Segoe UI"/>
                <w:color w:val="24292F"/>
              </w:rPr>
              <w:lastRenderedPageBreak/>
              <w:t>Low</w:t>
            </w:r>
            <w:bookmarkStart w:id="0" w:name="_GoBack"/>
            <w:bookmarkEnd w:id="0"/>
          </w:p>
        </w:tc>
      </w:tr>
      <w:tr w:rsidR="006E6BA3" w14:paraId="7E4BEEA3" w14:textId="77777777" w:rsidTr="00206A78">
        <w:tc>
          <w:tcPr>
            <w:tcW w:w="1068" w:type="dxa"/>
            <w:vAlign w:val="center"/>
          </w:tcPr>
          <w:p w14:paraId="570C1DA4" w14:textId="0DABA7FE" w:rsidR="006E6BA3" w:rsidRDefault="00A820A2" w:rsidP="00EB2D47">
            <w:pPr>
              <w:rPr>
                <w:rFonts w:ascii="Segoe UI" w:hAnsi="Segoe UI" w:cs="Segoe UI"/>
                <w:color w:val="24292F"/>
              </w:rPr>
            </w:pPr>
            <w:r>
              <w:rPr>
                <w:rFonts w:ascii="Segoe UI" w:hAnsi="Segoe UI" w:cs="Segoe UI"/>
                <w:color w:val="24292F"/>
              </w:rPr>
              <w:t>4</w:t>
            </w:r>
          </w:p>
        </w:tc>
        <w:tc>
          <w:tcPr>
            <w:tcW w:w="1337" w:type="dxa"/>
            <w:vAlign w:val="center"/>
          </w:tcPr>
          <w:p w14:paraId="06DA0063" w14:textId="169552B4" w:rsidR="006E6BA3" w:rsidRDefault="008513B6" w:rsidP="00EB2D47">
            <w:pPr>
              <w:rPr>
                <w:rFonts w:ascii="Segoe UI" w:hAnsi="Segoe UI" w:cs="Segoe UI"/>
                <w:color w:val="24292F"/>
              </w:rPr>
            </w:pPr>
            <w:r>
              <w:rPr>
                <w:rFonts w:ascii="Segoe UI" w:hAnsi="Segoe UI" w:cs="Segoe UI"/>
                <w:color w:val="24292F"/>
              </w:rPr>
              <w:t>30/11/22</w:t>
            </w:r>
          </w:p>
        </w:tc>
        <w:tc>
          <w:tcPr>
            <w:tcW w:w="2166" w:type="dxa"/>
            <w:vAlign w:val="center"/>
          </w:tcPr>
          <w:p w14:paraId="744D8757" w14:textId="7DDC0A98" w:rsidR="006E6BA3" w:rsidRDefault="00952BD5" w:rsidP="00952BD5">
            <w:pPr>
              <w:rPr>
                <w:rFonts w:ascii="Segoe UI" w:hAnsi="Segoe UI" w:cs="Segoe UI"/>
                <w:color w:val="24292F"/>
              </w:rPr>
            </w:pPr>
            <w:r>
              <w:rPr>
                <w:rFonts w:ascii="Segoe UI" w:hAnsi="Segoe UI" w:cs="Segoe UI"/>
                <w:color w:val="24292F"/>
              </w:rPr>
              <w:t>Updates or c</w:t>
            </w:r>
            <w:r w:rsidR="006E6BA3">
              <w:rPr>
                <w:rFonts w:ascii="Segoe UI" w:hAnsi="Segoe UI" w:cs="Segoe UI"/>
                <w:color w:val="24292F"/>
              </w:rPr>
              <w:t xml:space="preserve">hanges in the coding system </w:t>
            </w:r>
            <w:r>
              <w:rPr>
                <w:rFonts w:ascii="Segoe UI" w:hAnsi="Segoe UI" w:cs="Segoe UI"/>
                <w:color w:val="24292F"/>
              </w:rPr>
              <w:t xml:space="preserve">(e.g. SNOMED) </w:t>
            </w:r>
            <w:r w:rsidR="006E6BA3">
              <w:rPr>
                <w:rFonts w:ascii="Segoe UI" w:hAnsi="Segoe UI" w:cs="Segoe UI"/>
                <w:color w:val="24292F"/>
              </w:rPr>
              <w:t>used to define deficits</w:t>
            </w:r>
          </w:p>
        </w:tc>
        <w:tc>
          <w:tcPr>
            <w:tcW w:w="959" w:type="dxa"/>
            <w:vAlign w:val="center"/>
          </w:tcPr>
          <w:p w14:paraId="5D4E0958" w14:textId="2FD8730E" w:rsidR="006E6BA3" w:rsidRDefault="008513B6" w:rsidP="00EB2D47">
            <w:pPr>
              <w:rPr>
                <w:rFonts w:ascii="Segoe UI" w:hAnsi="Segoe UI" w:cs="Segoe UI"/>
                <w:color w:val="24292F"/>
              </w:rPr>
            </w:pPr>
            <w:r>
              <w:rPr>
                <w:rFonts w:ascii="Segoe UI" w:hAnsi="Segoe UI" w:cs="Segoe UI"/>
                <w:color w:val="24292F"/>
              </w:rPr>
              <w:t>n/a</w:t>
            </w:r>
          </w:p>
        </w:tc>
        <w:tc>
          <w:tcPr>
            <w:tcW w:w="1296" w:type="dxa"/>
            <w:vAlign w:val="center"/>
          </w:tcPr>
          <w:p w14:paraId="15C94ED0" w14:textId="6FBD86CA" w:rsidR="006E6BA3" w:rsidRDefault="006E6BA3" w:rsidP="00EB2D47">
            <w:pPr>
              <w:rPr>
                <w:rFonts w:ascii="Segoe UI" w:hAnsi="Segoe UI" w:cs="Segoe UI"/>
                <w:color w:val="24292F"/>
              </w:rPr>
            </w:pPr>
            <w:r>
              <w:rPr>
                <w:rFonts w:ascii="Segoe UI" w:hAnsi="Segoe UI" w:cs="Segoe UI"/>
                <w:color w:val="24292F"/>
              </w:rPr>
              <w:t>Moderate</w:t>
            </w:r>
          </w:p>
        </w:tc>
        <w:tc>
          <w:tcPr>
            <w:tcW w:w="1166" w:type="dxa"/>
            <w:vAlign w:val="center"/>
          </w:tcPr>
          <w:p w14:paraId="66E12CDE" w14:textId="0DB3EDA0" w:rsidR="006E6BA3" w:rsidRDefault="006E6BA3" w:rsidP="00EB2D47">
            <w:pPr>
              <w:rPr>
                <w:rFonts w:ascii="Segoe UI" w:hAnsi="Segoe UI" w:cs="Segoe UI"/>
                <w:color w:val="24292F"/>
              </w:rPr>
            </w:pPr>
            <w:r>
              <w:rPr>
                <w:rFonts w:ascii="Segoe UI" w:hAnsi="Segoe UI" w:cs="Segoe UI"/>
                <w:color w:val="24292F"/>
              </w:rPr>
              <w:t>Moderate</w:t>
            </w:r>
          </w:p>
        </w:tc>
        <w:tc>
          <w:tcPr>
            <w:tcW w:w="1643" w:type="dxa"/>
            <w:vAlign w:val="center"/>
          </w:tcPr>
          <w:p w14:paraId="67834066" w14:textId="60962D8F" w:rsidR="006E6BA3" w:rsidRDefault="006E6BA3" w:rsidP="00EB2D47">
            <w:pPr>
              <w:rPr>
                <w:rFonts w:ascii="Segoe UI" w:hAnsi="Segoe UI" w:cs="Segoe UI"/>
                <w:color w:val="24292F"/>
              </w:rPr>
            </w:pPr>
            <w:r>
              <w:rPr>
                <w:rFonts w:ascii="Segoe UI" w:hAnsi="Segoe UI" w:cs="Segoe UI"/>
                <w:color w:val="24292F"/>
              </w:rPr>
              <w:t>Moderate</w:t>
            </w:r>
          </w:p>
        </w:tc>
        <w:tc>
          <w:tcPr>
            <w:tcW w:w="3654" w:type="dxa"/>
            <w:vAlign w:val="center"/>
          </w:tcPr>
          <w:p w14:paraId="314A7DA5" w14:textId="0EFC9564" w:rsidR="006E6BA3" w:rsidRDefault="00A820A2" w:rsidP="00A820A2">
            <w:pPr>
              <w:rPr>
                <w:rFonts w:ascii="Segoe UI" w:hAnsi="Segoe UI" w:cs="Segoe UI"/>
                <w:color w:val="24292F"/>
              </w:rPr>
            </w:pPr>
            <w:r>
              <w:rPr>
                <w:rFonts w:ascii="Segoe UI" w:hAnsi="Segoe UI" w:cs="Segoe UI"/>
                <w:color w:val="24292F"/>
              </w:rPr>
              <w:t>The d</w:t>
            </w:r>
            <w:r w:rsidR="00952BD5">
              <w:rPr>
                <w:rFonts w:ascii="Segoe UI" w:hAnsi="Segoe UI" w:cs="Segoe UI"/>
                <w:color w:val="24292F"/>
              </w:rPr>
              <w:t xml:space="preserve">evelopment team </w:t>
            </w:r>
            <w:r>
              <w:rPr>
                <w:rFonts w:ascii="Segoe UI" w:hAnsi="Segoe UI" w:cs="Segoe UI"/>
                <w:color w:val="24292F"/>
              </w:rPr>
              <w:t xml:space="preserve">plan </w:t>
            </w:r>
            <w:r w:rsidR="00952BD5">
              <w:rPr>
                <w:rFonts w:ascii="Segoe UI" w:hAnsi="Segoe UI" w:cs="Segoe UI"/>
                <w:color w:val="24292F"/>
              </w:rPr>
              <w:t xml:space="preserve">to keep in touch with </w:t>
            </w:r>
            <w:r>
              <w:rPr>
                <w:rFonts w:ascii="Segoe UI" w:hAnsi="Segoe UI" w:cs="Segoe UI"/>
                <w:color w:val="24292F"/>
              </w:rPr>
              <w:t xml:space="preserve">the relevant </w:t>
            </w:r>
            <w:r w:rsidR="00952BD5">
              <w:rPr>
                <w:rFonts w:ascii="Segoe UI" w:hAnsi="Segoe UI" w:cs="Segoe UI"/>
                <w:color w:val="24292F"/>
              </w:rPr>
              <w:t>software companies responsible for implementing the eFI2 and incorporated eFI+, which ensures early warning of upcoming changes in coding systems. The development team can then work on updating coding lists with like for like c</w:t>
            </w:r>
            <w:r>
              <w:rPr>
                <w:rFonts w:ascii="Segoe UI" w:hAnsi="Segoe UI" w:cs="Segoe UI"/>
                <w:color w:val="24292F"/>
              </w:rPr>
              <w:t>odes, where appropriate.</w:t>
            </w:r>
          </w:p>
        </w:tc>
        <w:tc>
          <w:tcPr>
            <w:tcW w:w="1590" w:type="dxa"/>
            <w:vAlign w:val="center"/>
          </w:tcPr>
          <w:p w14:paraId="11C2EEB2" w14:textId="090C1751" w:rsidR="006E6BA3" w:rsidRDefault="00952BD5" w:rsidP="00EB2D47">
            <w:pPr>
              <w:rPr>
                <w:rFonts w:ascii="Segoe UI" w:hAnsi="Segoe UI" w:cs="Segoe UI"/>
                <w:color w:val="24292F"/>
              </w:rPr>
            </w:pPr>
            <w:r>
              <w:rPr>
                <w:rFonts w:ascii="Segoe UI" w:hAnsi="Segoe UI" w:cs="Segoe UI"/>
                <w:color w:val="24292F"/>
              </w:rPr>
              <w:t>Low</w:t>
            </w:r>
          </w:p>
        </w:tc>
      </w:tr>
      <w:tr w:rsidR="00EB2D47" w14:paraId="35FA00EA" w14:textId="77777777" w:rsidTr="00206A78">
        <w:tc>
          <w:tcPr>
            <w:tcW w:w="1068" w:type="dxa"/>
            <w:vAlign w:val="center"/>
          </w:tcPr>
          <w:p w14:paraId="03E72BB9" w14:textId="25AE8F87" w:rsidR="00EB2D47" w:rsidRDefault="00A820A2" w:rsidP="008513B6">
            <w:pPr>
              <w:rPr>
                <w:rFonts w:ascii="Segoe UI" w:hAnsi="Segoe UI" w:cs="Segoe UI"/>
                <w:color w:val="24292F"/>
              </w:rPr>
            </w:pPr>
            <w:r>
              <w:rPr>
                <w:rFonts w:ascii="Segoe UI" w:hAnsi="Segoe UI" w:cs="Segoe UI"/>
                <w:color w:val="24292F"/>
              </w:rPr>
              <w:t>5</w:t>
            </w:r>
          </w:p>
        </w:tc>
        <w:tc>
          <w:tcPr>
            <w:tcW w:w="1337" w:type="dxa"/>
            <w:vAlign w:val="center"/>
          </w:tcPr>
          <w:p w14:paraId="56850025" w14:textId="77777777" w:rsidR="00EB2D47" w:rsidRDefault="00EB2D47" w:rsidP="00EB2D47">
            <w:pPr>
              <w:rPr>
                <w:rFonts w:ascii="Segoe UI" w:hAnsi="Segoe UI" w:cs="Segoe UI"/>
                <w:color w:val="24292F"/>
              </w:rPr>
            </w:pPr>
            <w:r>
              <w:rPr>
                <w:rFonts w:ascii="Segoe UI" w:hAnsi="Segoe UI" w:cs="Segoe UI"/>
                <w:color w:val="24292F"/>
              </w:rPr>
              <w:t>08/07/2022</w:t>
            </w:r>
          </w:p>
        </w:tc>
        <w:tc>
          <w:tcPr>
            <w:tcW w:w="2166" w:type="dxa"/>
            <w:vAlign w:val="center"/>
          </w:tcPr>
          <w:p w14:paraId="47635E2A" w14:textId="2BD4E706" w:rsidR="00EB2D47" w:rsidRDefault="00206A78" w:rsidP="00206A78">
            <w:pPr>
              <w:rPr>
                <w:rFonts w:ascii="Segoe UI" w:hAnsi="Segoe UI" w:cs="Segoe UI"/>
                <w:color w:val="24292F"/>
              </w:rPr>
            </w:pPr>
            <w:r>
              <w:rPr>
                <w:rFonts w:ascii="Segoe UI" w:hAnsi="Segoe UI" w:cs="Segoe UI"/>
                <w:color w:val="24292F"/>
              </w:rPr>
              <w:t>User e</w:t>
            </w:r>
            <w:r w:rsidR="00EB2D47">
              <w:rPr>
                <w:rFonts w:ascii="Segoe UI" w:hAnsi="Segoe UI" w:cs="Segoe UI"/>
                <w:color w:val="24292F"/>
              </w:rPr>
              <w:t>ye strain</w:t>
            </w:r>
          </w:p>
        </w:tc>
        <w:tc>
          <w:tcPr>
            <w:tcW w:w="959" w:type="dxa"/>
            <w:vAlign w:val="center"/>
          </w:tcPr>
          <w:p w14:paraId="4A20391D" w14:textId="77777777" w:rsidR="00EB2D47" w:rsidRDefault="00EB2D47" w:rsidP="00EB2D47">
            <w:pPr>
              <w:rPr>
                <w:rFonts w:ascii="Segoe UI" w:hAnsi="Segoe UI" w:cs="Segoe UI"/>
                <w:color w:val="24292F"/>
              </w:rPr>
            </w:pPr>
            <w:r>
              <w:rPr>
                <w:rFonts w:ascii="Segoe UI" w:hAnsi="Segoe UI" w:cs="Segoe UI"/>
                <w:color w:val="24292F"/>
              </w:rPr>
              <w:t>n/a</w:t>
            </w:r>
          </w:p>
        </w:tc>
        <w:tc>
          <w:tcPr>
            <w:tcW w:w="1296" w:type="dxa"/>
            <w:vAlign w:val="center"/>
          </w:tcPr>
          <w:p w14:paraId="513BEECB" w14:textId="77777777" w:rsidR="00EB2D47" w:rsidRDefault="00EB2D47" w:rsidP="00EB2D47">
            <w:pPr>
              <w:rPr>
                <w:rFonts w:ascii="Segoe UI" w:hAnsi="Segoe UI" w:cs="Segoe UI"/>
                <w:color w:val="24292F"/>
              </w:rPr>
            </w:pPr>
            <w:r>
              <w:rPr>
                <w:rFonts w:ascii="Segoe UI" w:hAnsi="Segoe UI" w:cs="Segoe UI"/>
                <w:color w:val="24292F"/>
              </w:rPr>
              <w:t>High</w:t>
            </w:r>
          </w:p>
        </w:tc>
        <w:tc>
          <w:tcPr>
            <w:tcW w:w="1166" w:type="dxa"/>
            <w:vAlign w:val="center"/>
          </w:tcPr>
          <w:p w14:paraId="0344B2BF" w14:textId="77777777" w:rsidR="00EB2D47" w:rsidRDefault="00EB2D47" w:rsidP="00EB2D47">
            <w:pPr>
              <w:rPr>
                <w:rFonts w:ascii="Segoe UI" w:hAnsi="Segoe UI" w:cs="Segoe UI"/>
                <w:color w:val="24292F"/>
              </w:rPr>
            </w:pPr>
            <w:r>
              <w:rPr>
                <w:rFonts w:ascii="Segoe UI" w:hAnsi="Segoe UI" w:cs="Segoe UI"/>
                <w:color w:val="24292F"/>
              </w:rPr>
              <w:t>Low</w:t>
            </w:r>
          </w:p>
        </w:tc>
        <w:tc>
          <w:tcPr>
            <w:tcW w:w="1643" w:type="dxa"/>
            <w:vAlign w:val="center"/>
          </w:tcPr>
          <w:p w14:paraId="7D8A0A6C" w14:textId="77777777" w:rsidR="00EB2D47" w:rsidRDefault="00EB2D47" w:rsidP="00EB2D47">
            <w:pPr>
              <w:rPr>
                <w:rFonts w:ascii="Segoe UI" w:hAnsi="Segoe UI" w:cs="Segoe UI"/>
                <w:color w:val="24292F"/>
              </w:rPr>
            </w:pPr>
            <w:r>
              <w:rPr>
                <w:rFonts w:ascii="Segoe UI" w:hAnsi="Segoe UI" w:cs="Segoe UI"/>
                <w:color w:val="24292F"/>
              </w:rPr>
              <w:t>Moderate</w:t>
            </w:r>
          </w:p>
        </w:tc>
        <w:tc>
          <w:tcPr>
            <w:tcW w:w="3654" w:type="dxa"/>
            <w:vAlign w:val="center"/>
          </w:tcPr>
          <w:p w14:paraId="33BEC48D" w14:textId="77777777" w:rsidR="00EB2D47" w:rsidRDefault="00EB2D47" w:rsidP="00EB2D47">
            <w:pPr>
              <w:rPr>
                <w:rFonts w:ascii="Segoe UI" w:hAnsi="Segoe UI" w:cs="Segoe UI"/>
                <w:color w:val="24292F"/>
              </w:rPr>
            </w:pPr>
            <w:r>
              <w:rPr>
                <w:rFonts w:ascii="Segoe UI" w:hAnsi="Segoe UI" w:cs="Segoe UI"/>
                <w:color w:val="24292F"/>
              </w:rPr>
              <w:t>We recommend users take a break from the screen every 20 minutes</w:t>
            </w:r>
          </w:p>
        </w:tc>
        <w:tc>
          <w:tcPr>
            <w:tcW w:w="1590" w:type="dxa"/>
            <w:vAlign w:val="center"/>
          </w:tcPr>
          <w:p w14:paraId="3887349B" w14:textId="3CCD72D6" w:rsidR="00EB2D47" w:rsidRDefault="00EB2D47" w:rsidP="00EB2D47">
            <w:pPr>
              <w:rPr>
                <w:rFonts w:ascii="Segoe UI" w:hAnsi="Segoe UI" w:cs="Segoe UI"/>
                <w:color w:val="24292F"/>
              </w:rPr>
            </w:pPr>
            <w:r>
              <w:rPr>
                <w:rFonts w:ascii="Segoe UI" w:hAnsi="Segoe UI" w:cs="Segoe UI"/>
                <w:color w:val="24292F"/>
              </w:rPr>
              <w:t>Low</w:t>
            </w:r>
          </w:p>
        </w:tc>
      </w:tr>
    </w:tbl>
    <w:p w14:paraId="3B644AE6" w14:textId="77777777" w:rsidR="00930298" w:rsidRDefault="00930298"/>
    <w:sectPr w:rsidR="00930298" w:rsidSect="00EB2D47">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579C7" w14:textId="77777777" w:rsidR="004D7F4C" w:rsidRDefault="004D7F4C" w:rsidP="004D7F4C">
      <w:pPr>
        <w:spacing w:after="0" w:line="240" w:lineRule="auto"/>
      </w:pPr>
      <w:r>
        <w:separator/>
      </w:r>
    </w:p>
  </w:endnote>
  <w:endnote w:type="continuationSeparator" w:id="0">
    <w:p w14:paraId="7F95E06F" w14:textId="77777777" w:rsidR="004D7F4C" w:rsidRDefault="004D7F4C" w:rsidP="004D7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0D6E0" w14:textId="77777777" w:rsidR="004D7F4C" w:rsidRDefault="004D7F4C" w:rsidP="004D7F4C">
      <w:pPr>
        <w:spacing w:after="0" w:line="240" w:lineRule="auto"/>
      </w:pPr>
      <w:r>
        <w:separator/>
      </w:r>
    </w:p>
  </w:footnote>
  <w:footnote w:type="continuationSeparator" w:id="0">
    <w:p w14:paraId="06C1C36E" w14:textId="77777777" w:rsidR="004D7F4C" w:rsidRDefault="004D7F4C" w:rsidP="004D7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AA542" w14:textId="65E430D1" w:rsidR="004D7F4C" w:rsidRDefault="004D7F4C">
    <w:pPr>
      <w:pStyle w:val="Header"/>
    </w:pPr>
    <w:r>
      <w:t xml:space="preserve">Version 1.0    </w:t>
    </w:r>
    <w:r>
      <w:tab/>
    </w:r>
    <w:r>
      <w:tab/>
    </w:r>
    <w:r>
      <w:tab/>
    </w:r>
    <w:r>
      <w:tab/>
    </w:r>
    <w:r>
      <w:tab/>
    </w:r>
    <w:r>
      <w:tab/>
    </w:r>
    <w:r>
      <w:tab/>
    </w:r>
    <w:r>
      <w:tab/>
      <w:t>6/12/22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96599"/>
    <w:multiLevelType w:val="multilevel"/>
    <w:tmpl w:val="E2625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47"/>
    <w:rsid w:val="00206A78"/>
    <w:rsid w:val="004D7F4C"/>
    <w:rsid w:val="006E6BA3"/>
    <w:rsid w:val="007828B1"/>
    <w:rsid w:val="008513B6"/>
    <w:rsid w:val="00930298"/>
    <w:rsid w:val="00952BD5"/>
    <w:rsid w:val="00A16E18"/>
    <w:rsid w:val="00A820A2"/>
    <w:rsid w:val="00AE6E19"/>
    <w:rsid w:val="00B628E6"/>
    <w:rsid w:val="00CC5EA9"/>
    <w:rsid w:val="00EB2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C170"/>
  <w15:chartTrackingRefBased/>
  <w15:docId w15:val="{08D29090-6E20-4EB1-89FF-D27DE5A3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EA9"/>
  </w:style>
  <w:style w:type="paragraph" w:styleId="Heading1">
    <w:name w:val="heading 1"/>
    <w:basedOn w:val="Normal"/>
    <w:link w:val="Heading1Char"/>
    <w:uiPriority w:val="9"/>
    <w:qFormat/>
    <w:rsid w:val="00EB2D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B2D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2D4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B2D4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B2D47"/>
    <w:rPr>
      <w:color w:val="0000FF"/>
      <w:u w:val="single"/>
    </w:rPr>
  </w:style>
  <w:style w:type="paragraph" w:styleId="NormalWeb">
    <w:name w:val="Normal (Web)"/>
    <w:basedOn w:val="Normal"/>
    <w:uiPriority w:val="99"/>
    <w:semiHidden/>
    <w:unhideWhenUsed/>
    <w:rsid w:val="00EB2D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B2D47"/>
    <w:rPr>
      <w:b/>
      <w:bCs/>
    </w:rPr>
  </w:style>
  <w:style w:type="character" w:styleId="CommentReference">
    <w:name w:val="annotation reference"/>
    <w:basedOn w:val="DefaultParagraphFont"/>
    <w:uiPriority w:val="99"/>
    <w:semiHidden/>
    <w:unhideWhenUsed/>
    <w:rsid w:val="00EB2D47"/>
    <w:rPr>
      <w:sz w:val="16"/>
      <w:szCs w:val="16"/>
    </w:rPr>
  </w:style>
  <w:style w:type="paragraph" w:styleId="CommentText">
    <w:name w:val="annotation text"/>
    <w:basedOn w:val="Normal"/>
    <w:link w:val="CommentTextChar"/>
    <w:uiPriority w:val="99"/>
    <w:semiHidden/>
    <w:unhideWhenUsed/>
    <w:rsid w:val="00EB2D47"/>
    <w:pPr>
      <w:spacing w:line="240" w:lineRule="auto"/>
    </w:pPr>
    <w:rPr>
      <w:sz w:val="20"/>
      <w:szCs w:val="20"/>
    </w:rPr>
  </w:style>
  <w:style w:type="character" w:customStyle="1" w:styleId="CommentTextChar">
    <w:name w:val="Comment Text Char"/>
    <w:basedOn w:val="DefaultParagraphFont"/>
    <w:link w:val="CommentText"/>
    <w:uiPriority w:val="99"/>
    <w:semiHidden/>
    <w:rsid w:val="00EB2D47"/>
    <w:rPr>
      <w:sz w:val="20"/>
      <w:szCs w:val="20"/>
    </w:rPr>
  </w:style>
  <w:style w:type="paragraph" w:styleId="CommentSubject">
    <w:name w:val="annotation subject"/>
    <w:basedOn w:val="CommentText"/>
    <w:next w:val="CommentText"/>
    <w:link w:val="CommentSubjectChar"/>
    <w:uiPriority w:val="99"/>
    <w:semiHidden/>
    <w:unhideWhenUsed/>
    <w:rsid w:val="00EB2D47"/>
    <w:rPr>
      <w:b/>
      <w:bCs/>
    </w:rPr>
  </w:style>
  <w:style w:type="character" w:customStyle="1" w:styleId="CommentSubjectChar">
    <w:name w:val="Comment Subject Char"/>
    <w:basedOn w:val="CommentTextChar"/>
    <w:link w:val="CommentSubject"/>
    <w:uiPriority w:val="99"/>
    <w:semiHidden/>
    <w:rsid w:val="00EB2D47"/>
    <w:rPr>
      <w:b/>
      <w:bCs/>
      <w:sz w:val="20"/>
      <w:szCs w:val="20"/>
    </w:rPr>
  </w:style>
  <w:style w:type="paragraph" w:styleId="BalloonText">
    <w:name w:val="Balloon Text"/>
    <w:basedOn w:val="Normal"/>
    <w:link w:val="BalloonTextChar"/>
    <w:uiPriority w:val="99"/>
    <w:semiHidden/>
    <w:unhideWhenUsed/>
    <w:rsid w:val="00EB2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D47"/>
    <w:rPr>
      <w:rFonts w:ascii="Segoe UI" w:hAnsi="Segoe UI" w:cs="Segoe UI"/>
      <w:sz w:val="18"/>
      <w:szCs w:val="18"/>
    </w:rPr>
  </w:style>
  <w:style w:type="paragraph" w:styleId="Header">
    <w:name w:val="header"/>
    <w:basedOn w:val="Normal"/>
    <w:link w:val="HeaderChar"/>
    <w:uiPriority w:val="99"/>
    <w:unhideWhenUsed/>
    <w:rsid w:val="004D7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F4C"/>
  </w:style>
  <w:style w:type="paragraph" w:styleId="Footer">
    <w:name w:val="footer"/>
    <w:basedOn w:val="Normal"/>
    <w:link w:val="FooterChar"/>
    <w:uiPriority w:val="99"/>
    <w:unhideWhenUsed/>
    <w:rsid w:val="004D7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787374">
      <w:bodyDiv w:val="1"/>
      <w:marLeft w:val="0"/>
      <w:marRight w:val="0"/>
      <w:marTop w:val="0"/>
      <w:marBottom w:val="0"/>
      <w:divBdr>
        <w:top w:val="none" w:sz="0" w:space="0" w:color="auto"/>
        <w:left w:val="none" w:sz="0" w:space="0" w:color="auto"/>
        <w:bottom w:val="none" w:sz="0" w:space="0" w:color="auto"/>
        <w:right w:val="none" w:sz="0" w:space="0" w:color="auto"/>
      </w:divBdr>
    </w:div>
    <w:div w:id="192980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A238831A86ED4799DEBE517FE88007" ma:contentTypeVersion="11" ma:contentTypeDescription="Create a new document." ma:contentTypeScope="" ma:versionID="5669e075910fd613263692dfeab9f78b">
  <xsd:schema xmlns:xsd="http://www.w3.org/2001/XMLSchema" xmlns:xs="http://www.w3.org/2001/XMLSchema" xmlns:p="http://schemas.microsoft.com/office/2006/metadata/properties" xmlns:ns3="e840096b-38d0-4c06-b2c7-b42c8392b5fa" xmlns:ns4="073239ff-6ebc-47a7-8085-0648bb20a425" targetNamespace="http://schemas.microsoft.com/office/2006/metadata/properties" ma:root="true" ma:fieldsID="f508557141096203c9c164004d045a62" ns3:_="" ns4:_="">
    <xsd:import namespace="e840096b-38d0-4c06-b2c7-b42c8392b5fa"/>
    <xsd:import namespace="073239ff-6ebc-47a7-8085-0648bb20a4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0096b-38d0-4c06-b2c7-b42c8392b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3239ff-6ebc-47a7-8085-0648bb20a4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572E25-A22C-4898-854F-B7C4F8971DF6}">
  <ds:schemaRefs>
    <ds:schemaRef ds:uri="http://schemas.microsoft.com/sharepoint/v3/contenttype/forms"/>
  </ds:schemaRefs>
</ds:datastoreItem>
</file>

<file path=customXml/itemProps2.xml><?xml version="1.0" encoding="utf-8"?>
<ds:datastoreItem xmlns:ds="http://schemas.openxmlformats.org/officeDocument/2006/customXml" ds:itemID="{9FFB16EB-ABB5-4DE1-806B-E9EB037AA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0096b-38d0-4c06-b2c7-b42c8392b5fa"/>
    <ds:schemaRef ds:uri="073239ff-6ebc-47a7-8085-0648bb20a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A770B-7157-46EE-B1DB-474CD911BBDF}">
  <ds:schemaRefs>
    <ds:schemaRef ds:uri="http://purl.org/dc/elements/1.1/"/>
    <ds:schemaRef ds:uri="http://schemas.microsoft.com/office/2006/metadata/properties"/>
    <ds:schemaRef ds:uri="073239ff-6ebc-47a7-8085-0648bb20a425"/>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e840096b-38d0-4c06-b2c7-b42c8392b5f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Best</dc:creator>
  <cp:keywords/>
  <dc:description/>
  <cp:lastModifiedBy>Kate Best</cp:lastModifiedBy>
  <cp:revision>4</cp:revision>
  <dcterms:created xsi:type="dcterms:W3CDTF">2022-10-13T13:44:00Z</dcterms:created>
  <dcterms:modified xsi:type="dcterms:W3CDTF">2022-12-06T11:43:00Z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0x0101002AA238831A86ED4799DEBE517FE88007</vt:lpwstr>
  </property>
</Properties>
</file>