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51067"/>
          <w:sz w:val="40"/>
        </w:rPr>
        <w:t>Account-Based Marketing: Buyer Journey Grid</w:t>
      </w:r>
    </w:p>
    <w:p>
      <w:r>
        <w:rPr>
          <w:color w:val="55575A"/>
          <w:sz w:val="18"/>
        </w:rPr>
        <w:t>Draft for Kate, 2026.09.30. All five stages drafted, none confirmed. Thesis: Thoughtware before software. Addressee: the CEO or President (consistent with every series), with the whole commercial team reading over their shoulder. Audience: 70 ABM-signal contacts in Zoho (Black &amp; Veatch, AECOM, Jacobs, Korn Ferry, Salesforce, IBM, Marriott and more), plus Site Visit Targeting clickers.</w:t>
      </w:r>
    </w:p>
    <w:tbl>
      <w:tblPr>
        <w:tblStyle w:val="TableGrid"/>
        <w:tblW w:type="auto" w:w="0"/>
        <w:tblLayout w:type="fixed"/>
        <w:tblLook w:firstColumn="1" w:firstRow="1" w:lastColumn="0" w:lastRow="0" w:noHBand="0" w:noVBand="1" w:val="04A0"/>
      </w:tblPr>
      <w:tblGrid>
        <w:gridCol w:w="3888"/>
        <w:gridCol w:w="3888"/>
        <w:gridCol w:w="3888"/>
        <w:gridCol w:w="3888"/>
        <w:gridCol w:w="3888"/>
        <w:gridCol w:w="3888"/>
      </w:tblGrid>
      <w:tr>
        <w:trPr>
          <w:tblHeader w:val="true"/>
        </w:trPr>
        <w:tc>
          <w:tcPr>
            <w:tcW w:type="dxa" w:w="1728"/>
            <w:shd w:val="clear" w:color="auto" w:fill="B52372"/>
          </w:tcPr>
          <w:p/>
        </w:tc>
        <w:tc>
          <w:tcPr>
            <w:tcW w:type="dxa" w:w="4349"/>
            <w:shd w:val="clear" w:color="auto" w:fill="B52372"/>
          </w:tcPr>
          <w:p>
            <w:r/>
            <w:r>
              <w:rPr>
                <w:b/>
                <w:color w:val="FFFFFF"/>
                <w:sz w:val="18"/>
              </w:rPr>
              <w:t>1. Point of inspiration</w:t>
            </w:r>
          </w:p>
        </w:tc>
        <w:tc>
          <w:tcPr>
            <w:tcW w:type="dxa" w:w="4349"/>
            <w:shd w:val="clear" w:color="auto" w:fill="B52372"/>
          </w:tcPr>
          <w:p>
            <w:r/>
            <w:r>
              <w:rPr>
                <w:b/>
                <w:color w:val="FFFFFF"/>
                <w:sz w:val="18"/>
              </w:rPr>
              <w:t>2. Informed</w:t>
            </w:r>
          </w:p>
        </w:tc>
        <w:tc>
          <w:tcPr>
            <w:tcW w:type="dxa" w:w="4349"/>
            <w:shd w:val="clear" w:color="auto" w:fill="B52372"/>
          </w:tcPr>
          <w:p>
            <w:r/>
            <w:r>
              <w:rPr>
                <w:b/>
                <w:color w:val="FFFFFF"/>
                <w:sz w:val="18"/>
              </w:rPr>
              <w:t>3. Explore</w:t>
            </w:r>
          </w:p>
        </w:tc>
        <w:tc>
          <w:tcPr>
            <w:tcW w:type="dxa" w:w="4349"/>
            <w:shd w:val="clear" w:color="auto" w:fill="B52372"/>
          </w:tcPr>
          <w:p>
            <w:r/>
            <w:r>
              <w:rPr>
                <w:b/>
                <w:color w:val="FFFFFF"/>
                <w:sz w:val="18"/>
              </w:rPr>
              <w:t>4. Aware of product</w:t>
            </w:r>
          </w:p>
        </w:tc>
        <w:tc>
          <w:tcPr>
            <w:tcW w:type="dxa" w:w="4349"/>
            <w:shd w:val="clear" w:color="auto" w:fill="B52372"/>
          </w:tcPr>
          <w:p>
            <w:r/>
            <w:r>
              <w:rPr>
                <w:b/>
                <w:color w:val="FFFFFF"/>
                <w:sz w:val="18"/>
              </w:rPr>
              <w:t>5. Validate</w:t>
            </w:r>
          </w:p>
        </w:tc>
      </w:tr>
      <w:tr>
        <w:tc>
          <w:tcPr>
            <w:tcW w:type="dxa" w:w="1728"/>
            <w:shd w:val="clear" w:color="auto" w:fill="F2E6EE"/>
          </w:tcPr>
          <w:p>
            <w:r/>
            <w:r>
              <w:rPr>
                <w:b/>
                <w:color w:val="B52372"/>
                <w:sz w:val="18"/>
              </w:rPr>
              <w:t>Thinking and feeling</w:t>
            </w:r>
          </w:p>
        </w:tc>
        <w:tc>
          <w:tcPr>
            <w:tcW w:type="dxa" w:w="4349"/>
          </w:tcPr>
          <w:p>
            <w:pPr>
              <w:spacing w:after="20"/>
            </w:pPr>
            <w:r/>
            <w:r>
              <w:t>Something shifted. Next year's number leans on a few big accounts, a pursuit they thought was theirs went elsewhere, or the board asked about concentration. Nothing decided yet.</w:t>
            </w:r>
          </w:p>
          <w:p>
            <w:pPr>
              <w:spacing w:after="20"/>
            </w:pPr>
            <w:r/>
          </w:p>
          <w:p>
            <w:pPr>
              <w:spacing w:after="20"/>
            </w:pPr>
            <w:r>
              <w:t>"Most of next year's growth sits in a handful of accounts. How well do we really know them?"</w:t>
            </w:r>
          </w:p>
          <w:p>
            <w:pPr>
              <w:spacing w:after="20"/>
            </w:pPr>
            <w:r>
              <w:t>"We lost one we thought was ours. Why didn't we see it coming?"</w:t>
            </w:r>
          </w:p>
          <w:p>
            <w:pPr>
              <w:spacing w:after="20"/>
            </w:pPr>
            <w:r>
              <w:t>"We have the ABM platform and the target list. Why isn't it moving the number?"</w:t>
            </w:r>
          </w:p>
          <w:p>
            <w:pPr>
              <w:spacing w:after="20"/>
            </w:pPr>
            <w:r/>
          </w:p>
          <w:p>
            <w:pPr>
              <w:spacing w:after="20"/>
            </w:pPr>
            <w:r>
              <w:t>Feeling: exposed. Too much riding on too few relationships.</w:t>
            </w:r>
          </w:p>
          <w:p>
            <w:pPr>
              <w:spacing w:after="20"/>
            </w:pPr>
            <w:r/>
          </w:p>
          <w:p>
            <w:pPr>
              <w:spacing w:after="20"/>
            </w:pPr>
            <w:r>
              <w:t>Committee: CRO: can't afford to lose one account. CMO: running campaigns sales ignores. Account and BD leads: carrying the relationship alone. CFO: paid for the platform, where's the return?</w:t>
            </w:r>
          </w:p>
        </w:tc>
        <w:tc>
          <w:tcPr>
            <w:tcW w:type="dxa" w:w="4349"/>
          </w:tcPr>
          <w:p>
            <w:pPr>
              <w:spacing w:after="20"/>
            </w:pPr>
            <w:r/>
            <w:r>
              <w:t>They see ABM is underdelivering and suspect it's the approach, not the tools.</w:t>
            </w:r>
          </w:p>
          <w:p>
            <w:pPr>
              <w:spacing w:after="20"/>
            </w:pPr>
            <w:r/>
          </w:p>
          <w:p>
            <w:pPr>
              <w:spacing w:after="20"/>
            </w:pPr>
            <w:r>
              <w:t>"We bought the platform, built the list, ran the campaigns. Why does it feel like two plans aimed at the same logo?"</w:t>
            </w:r>
          </w:p>
          <w:p>
            <w:pPr>
              <w:spacing w:after="20"/>
            </w:pPr>
            <w:r>
              <w:t>"Is this a tool problem or a thinking problem?"</w:t>
            </w:r>
          </w:p>
          <w:p>
            <w:pPr>
              <w:spacing w:after="20"/>
            </w:pPr>
            <w:r>
              <w:t>"Our account plan and our marketing plan don't even mention each other."</w:t>
            </w:r>
          </w:p>
          <w:p>
            <w:pPr>
              <w:spacing w:after="20"/>
            </w:pPr>
            <w:r/>
          </w:p>
          <w:p>
            <w:pPr>
              <w:spacing w:after="20"/>
            </w:pPr>
            <w:r>
              <w:t>Feeling: frustrated, a little embarrassed about the spend.</w:t>
            </w:r>
          </w:p>
          <w:p>
            <w:pPr>
              <w:spacing w:after="20"/>
            </w:pPr>
            <w:r/>
          </w:p>
          <w:p>
            <w:pPr>
              <w:spacing w:after="20"/>
            </w:pPr>
            <w:r>
              <w:t>Committee: CFO questioning the platform's return. CMO defending it. CRO: reps don't use it. Account leads: nobody asked us.</w:t>
            </w:r>
          </w:p>
        </w:tc>
        <w:tc>
          <w:tcPr>
            <w:tcW w:type="dxa" w:w="4349"/>
          </w:tcPr>
          <w:p>
            <w:pPr>
              <w:spacing w:after="20"/>
            </w:pPr>
            <w:r/>
            <w:r>
              <w:t>They're looking at how to do it differently.</w:t>
            </w:r>
          </w:p>
          <w:p>
            <w:pPr>
              <w:spacing w:after="20"/>
            </w:pPr>
            <w:r/>
          </w:p>
          <w:p>
            <w:pPr>
              <w:spacing w:after="20"/>
            </w:pPr>
            <w:r>
              <w:t>"What would it look like if we started from the customer, not our product?"</w:t>
            </w:r>
          </w:p>
          <w:p>
            <w:pPr>
              <w:spacing w:after="20"/>
            </w:pPr>
            <w:r>
              <w:t>"Which accounts deserve this level of effort?"</w:t>
            </w:r>
          </w:p>
          <w:p>
            <w:pPr>
              <w:spacing w:after="20"/>
            </w:pPr>
            <w:r>
              <w:t>"Who on our team owns which moment with the customer?"</w:t>
            </w:r>
          </w:p>
          <w:p>
            <w:pPr>
              <w:spacing w:after="20"/>
            </w:pPr>
            <w:r/>
          </w:p>
          <w:p>
            <w:pPr>
              <w:spacing w:after="20"/>
            </w:pPr>
            <w:r>
              <w:t>Feeling: energized but daunted. It sounds like a lot of work.</w:t>
            </w:r>
          </w:p>
          <w:p>
            <w:pPr>
              <w:spacing w:after="20"/>
            </w:pPr>
            <w:r/>
          </w:p>
          <w:p>
            <w:pPr>
              <w:spacing w:after="20"/>
            </w:pPr>
            <w:r>
              <w:t>Committee: CRO worried about rep time. CMO sees the role getting bigger. Account leads want help, not homework.</w:t>
            </w:r>
          </w:p>
        </w:tc>
        <w:tc>
          <w:tcPr>
            <w:tcW w:type="dxa" w:w="4349"/>
          </w:tcPr>
          <w:p>
            <w:pPr>
              <w:spacing w:after="20"/>
            </w:pPr>
            <w:r/>
            <w:r>
              <w:t>They've found Kate Burda &amp; Co and Ignite. They want specifics.</w:t>
            </w:r>
          </w:p>
          <w:p>
            <w:pPr>
              <w:spacing w:after="20"/>
            </w:pPr>
            <w:r/>
          </w:p>
          <w:p>
            <w:pPr>
              <w:spacing w:after="20"/>
            </w:pPr>
            <w:r>
              <w:t>"Is this a workshop, a platform, or a retainer?"</w:t>
            </w:r>
          </w:p>
          <w:p>
            <w:pPr>
              <w:spacing w:after="20"/>
            </w:pPr>
            <w:r>
              <w:t>"How much of my team's time does it take?"</w:t>
            </w:r>
          </w:p>
          <w:p>
            <w:pPr>
              <w:spacing w:after="20"/>
            </w:pPr>
            <w:r>
              <w:t>"Does it work with the ABM tools we already paid for?"</w:t>
            </w:r>
          </w:p>
          <w:p>
            <w:pPr>
              <w:spacing w:after="20"/>
            </w:pPr>
            <w:r/>
          </w:p>
          <w:p>
            <w:pPr>
              <w:spacing w:after="20"/>
            </w:pPr>
            <w:r>
              <w:t>Feeling: interested, wary of another initiative.</w:t>
            </w:r>
          </w:p>
          <w:p>
            <w:pPr>
              <w:spacing w:after="20"/>
            </w:pPr>
            <w:r/>
          </w:p>
          <w:p>
            <w:pPr>
              <w:spacing w:after="20"/>
            </w:pPr>
            <w:r>
              <w:t>Committee: CFO: cost. CMO and CRO: who owns it. IT: what data it touches.</w:t>
            </w:r>
          </w:p>
        </w:tc>
        <w:tc>
          <w:tcPr>
            <w:tcW w:type="dxa" w:w="4349"/>
          </w:tcPr>
          <w:p>
            <w:pPr>
              <w:spacing w:after="20"/>
            </w:pPr>
            <w:r/>
            <w:r>
              <w:t>Comparing options: the platform's own services team, an agency, doing it in-house, or us. Close to yes, needs cover.</w:t>
            </w:r>
          </w:p>
          <w:p>
            <w:pPr>
              <w:spacing w:after="20"/>
            </w:pPr>
            <w:r/>
          </w:p>
          <w:p>
            <w:pPr>
              <w:spacing w:after="20"/>
            </w:pPr>
            <w:r>
              <w:t>"Why not have the agency or the platform vendor do it?"</w:t>
            </w:r>
          </w:p>
          <w:p>
            <w:pPr>
              <w:spacing w:after="20"/>
            </w:pPr>
            <w:r>
              <w:t>"Will the team keep doing it after the workshop?"</w:t>
            </w:r>
          </w:p>
          <w:p>
            <w:pPr>
              <w:spacing w:after="20"/>
            </w:pPr>
            <w:r>
              <w:t>"What's the payoff, and when?"</w:t>
            </w:r>
          </w:p>
          <w:p>
            <w:pPr>
              <w:spacing w:after="20"/>
            </w:pPr>
            <w:r/>
          </w:p>
          <w:p>
            <w:pPr>
              <w:spacing w:after="20"/>
            </w:pPr>
            <w:r>
              <w:t>Feeling: skeptical and doing due diligence. Their name is on the growth number.</w:t>
            </w:r>
          </w:p>
          <w:p>
            <w:pPr>
              <w:spacing w:after="20"/>
            </w:pPr>
            <w:r/>
          </w:p>
          <w:p>
            <w:pPr>
              <w:spacing w:after="20"/>
            </w:pPr>
            <w:r>
              <w:t>Committee: CFO wants the return. Sales wants it to not slow reps down.</w:t>
            </w:r>
          </w:p>
        </w:tc>
      </w:tr>
      <w:tr>
        <w:tc>
          <w:tcPr>
            <w:tcW w:type="dxa" w:w="1728"/>
            <w:shd w:val="clear" w:color="auto" w:fill="F2E6EE"/>
          </w:tcPr>
          <w:p>
            <w:r/>
            <w:r>
              <w:rPr>
                <w:b/>
                <w:color w:val="B52372"/>
                <w:sz w:val="18"/>
              </w:rPr>
              <w:t>Focus</w:t>
            </w:r>
          </w:p>
        </w:tc>
        <w:tc>
          <w:tcPr>
            <w:tcW w:type="dxa" w:w="4349"/>
          </w:tcPr>
          <w:p>
            <w:pPr>
              <w:spacing w:after="20"/>
            </w:pPr>
            <w:r/>
            <w:r>
              <w:t>Protecting and growing the few accounts that carry the number.</w:t>
            </w:r>
          </w:p>
          <w:p>
            <w:pPr>
              <w:spacing w:after="20"/>
            </w:pPr>
            <w:r/>
          </w:p>
          <w:p>
            <w:pPr>
              <w:spacing w:after="20"/>
            </w:pPr>
            <w:r>
              <w:t>Knowing what those customers are dealing with before they say it out loud.</w:t>
            </w:r>
          </w:p>
          <w:p>
            <w:pPr>
              <w:spacing w:after="20"/>
            </w:pPr>
            <w:r/>
          </w:p>
          <w:p>
            <w:pPr>
              <w:spacing w:after="20"/>
            </w:pPr>
            <w:r>
              <w:t>The whole team working one plan per account.</w:t>
            </w:r>
          </w:p>
          <w:p>
            <w:pPr>
              <w:spacing w:after="20"/>
            </w:pPr>
            <w:r/>
          </w:p>
          <w:p>
            <w:pPr>
              <w:spacing w:after="20"/>
            </w:pPr>
            <w:r>
              <w:t>Before next year's plan locks.</w:t>
            </w:r>
          </w:p>
        </w:tc>
        <w:tc>
          <w:tcPr>
            <w:tcW w:type="dxa" w:w="4349"/>
          </w:tcPr>
          <w:p>
            <w:pPr>
              <w:spacing w:after="20"/>
            </w:pPr>
            <w:r/>
            <w:r>
              <w:t>Understanding why ABM isn't working.</w:t>
            </w:r>
          </w:p>
          <w:p>
            <w:pPr>
              <w:spacing w:after="20"/>
            </w:pPr>
            <w:r/>
          </w:p>
          <w:p>
            <w:pPr>
              <w:spacing w:after="20"/>
            </w:pPr>
            <w:r>
              <w:t>Ending the silos between marketing, sales and the account team.</w:t>
            </w:r>
          </w:p>
          <w:p>
            <w:pPr>
              <w:spacing w:after="20"/>
            </w:pPr>
            <w:r/>
          </w:p>
          <w:p>
            <w:pPr>
              <w:spacing w:after="20"/>
            </w:pPr>
            <w:r>
              <w:t>One account plan, not two.</w:t>
            </w:r>
          </w:p>
        </w:tc>
        <w:tc>
          <w:tcPr>
            <w:tcW w:type="dxa" w:w="4349"/>
          </w:tcPr>
          <w:p>
            <w:pPr>
              <w:spacing w:after="20"/>
            </w:pPr>
            <w:r/>
            <w:r>
              <w:t>A practical method, not a theory.</w:t>
            </w:r>
          </w:p>
          <w:p>
            <w:pPr>
              <w:spacing w:after="20"/>
            </w:pPr>
            <w:r/>
          </w:p>
          <w:p>
            <w:pPr>
              <w:spacing w:after="20"/>
            </w:pPr>
            <w:r>
              <w:t>Prioritizing the accounts worth it.</w:t>
            </w:r>
          </w:p>
          <w:p>
            <w:pPr>
              <w:spacing w:after="20"/>
            </w:pPr>
            <w:r/>
          </w:p>
          <w:p>
            <w:pPr>
              <w:spacing w:after="20"/>
            </w:pPr>
            <w:r>
              <w:t>Knowing what to say, when, and who says it.</w:t>
            </w:r>
          </w:p>
          <w:p>
            <w:pPr>
              <w:spacing w:after="20"/>
            </w:pPr>
            <w:r/>
          </w:p>
          <w:p>
            <w:pPr>
              <w:spacing w:after="20"/>
            </w:pPr>
            <w:r>
              <w:t>Starting small.</w:t>
            </w:r>
          </w:p>
        </w:tc>
        <w:tc>
          <w:tcPr>
            <w:tcW w:type="dxa" w:w="4349"/>
          </w:tcPr>
          <w:p>
            <w:pPr>
              <w:spacing w:after="20"/>
            </w:pPr>
            <w:r/>
            <w:r>
              <w:t>A contained first step on a few accounts.</w:t>
            </w:r>
          </w:p>
          <w:p>
            <w:pPr>
              <w:spacing w:after="20"/>
            </w:pPr>
            <w:r/>
          </w:p>
          <w:p>
            <w:pPr>
              <w:spacing w:after="20"/>
            </w:pPr>
            <w:r>
              <w:t>Works with the tools they have.</w:t>
            </w:r>
          </w:p>
          <w:p>
            <w:pPr>
              <w:spacing w:after="20"/>
            </w:pPr>
            <w:r/>
          </w:p>
          <w:p>
            <w:pPr>
              <w:spacing w:after="20"/>
            </w:pPr>
            <w:r>
              <w:t>Results inside a quarter.</w:t>
            </w:r>
          </w:p>
          <w:p>
            <w:pPr>
              <w:spacing w:after="20"/>
            </w:pPr>
            <w:r/>
          </w:p>
          <w:p>
            <w:pPr>
              <w:spacing w:after="20"/>
            </w:pPr>
            <w:r>
              <w:t>Low lift on the team.</w:t>
            </w:r>
          </w:p>
        </w:tc>
        <w:tc>
          <w:tcPr>
            <w:tcW w:type="dxa" w:w="4349"/>
          </w:tcPr>
          <w:p>
            <w:pPr>
              <w:spacing w:after="20"/>
            </w:pPr>
            <w:r/>
            <w:r>
              <w:t>Proof it works and sticks.</w:t>
            </w:r>
          </w:p>
          <w:p>
            <w:pPr>
              <w:spacing w:after="20"/>
            </w:pPr>
            <w:r/>
          </w:p>
          <w:p>
            <w:pPr>
              <w:spacing w:after="20"/>
            </w:pPr>
            <w:r>
              <w:t>A return they can show.</w:t>
            </w:r>
          </w:p>
          <w:p>
            <w:pPr>
              <w:spacing w:after="20"/>
            </w:pPr>
            <w:r/>
          </w:p>
          <w:p>
            <w:pPr>
              <w:spacing w:after="20"/>
            </w:pPr>
            <w:r>
              <w:t>The team owning it after we leave.</w:t>
            </w:r>
          </w:p>
        </w:tc>
      </w:tr>
      <w:tr>
        <w:tc>
          <w:tcPr>
            <w:tcW w:type="dxa" w:w="1728"/>
            <w:shd w:val="clear" w:color="auto" w:fill="F2E6EE"/>
          </w:tcPr>
          <w:p>
            <w:r/>
            <w:r>
              <w:rPr>
                <w:b/>
                <w:color w:val="B52372"/>
                <w:sz w:val="18"/>
              </w:rPr>
              <w:t>What we have</w:t>
            </w:r>
          </w:p>
        </w:tc>
        <w:tc>
          <w:tcPr>
            <w:tcW w:type="dxa" w:w="4349"/>
          </w:tcPr>
          <w:p>
            <w:pPr>
              <w:spacing w:after="20"/>
            </w:pPr>
            <w:r/>
            <w:r>
              <w:t>Customer-led, team-enabled ABM (Kate and Dominique Côté, Velocity 2022).</w:t>
            </w:r>
          </w:p>
          <w:p>
            <w:pPr>
              <w:spacing w:after="20"/>
            </w:pPr>
            <w:r/>
          </w:p>
          <w:p>
            <w:pPr>
              <w:spacing w:after="20"/>
            </w:pPr>
            <w:r>
              <w:t>Customer journey mapping that starts at the point of inspiration, the trigger, not the vendor search.</w:t>
            </w:r>
          </w:p>
          <w:p>
            <w:pPr>
              <w:spacing w:after="20"/>
            </w:pPr>
            <w:r/>
          </w:p>
          <w:p>
            <w:pPr>
              <w:spacing w:after="20"/>
            </w:pPr>
            <w:r>
              <w:t>Outside-In Thinking: the customer's customer.</w:t>
            </w:r>
          </w:p>
          <w:p>
            <w:pPr>
              <w:spacing w:after="20"/>
            </w:pPr>
            <w:r/>
          </w:p>
          <w:p>
            <w:pPr>
              <w:spacing w:after="20"/>
            </w:pPr>
            <w:r>
              <w:t>Gartner: B2B buyers spend about 17% of their buying time with sales teams. Most of the thinking happens without you.</w:t>
            </w:r>
          </w:p>
        </w:tc>
        <w:tc>
          <w:tcPr>
            <w:tcW w:type="dxa" w:w="4349"/>
          </w:tcPr>
          <w:p>
            <w:pPr>
              <w:spacing w:after="20"/>
            </w:pPr>
            <w:r/>
            <w:r>
              <w:t>From the 2022 article: marketing-led, sales-enabled is inside-out. Customer-led, team-enabled starts from the customer's journey.</w:t>
            </w:r>
          </w:p>
          <w:p>
            <w:pPr>
              <w:spacing w:after="20"/>
            </w:pPr>
            <w:r/>
          </w:p>
          <w:p>
            <w:pPr>
              <w:spacing w:after="20"/>
            </w:pPr>
            <w:r>
              <w:t>"The account plan and the ABM plan should be the same document."</w:t>
            </w:r>
          </w:p>
          <w:p>
            <w:pPr>
              <w:spacing w:after="20"/>
            </w:pPr>
            <w:r/>
          </w:p>
          <w:p>
            <w:pPr>
              <w:spacing w:after="20"/>
            </w:pPr>
            <w:r>
              <w:t>"Campaign marketing isn't necessarily ABM. You can go one-to-one and still be irrelevant."</w:t>
            </w:r>
          </w:p>
          <w:p>
            <w:pPr>
              <w:spacing w:after="20"/>
            </w:pPr>
            <w:r/>
          </w:p>
          <w:p>
            <w:pPr>
              <w:spacing w:after="20"/>
            </w:pPr>
            <w:r>
              <w:t>The three kinds of marketing: product and brand, campaign, and customer-led ABM.</w:t>
            </w:r>
          </w:p>
        </w:tc>
        <w:tc>
          <w:tcPr>
            <w:tcW w:type="dxa" w:w="4349"/>
          </w:tcPr>
          <w:p>
            <w:pPr>
              <w:spacing w:after="20"/>
            </w:pPr>
            <w:r/>
            <w:r>
              <w:t>The method, in order: the journey stage, thinking and feeling, focus, what we have (the closet), impact (the sweet spot), value proposition, differentiated message, channel, champion. Understand before you solve.</w:t>
            </w:r>
          </w:p>
          <w:p>
            <w:pPr>
              <w:spacing w:after="20"/>
            </w:pPr>
            <w:r/>
          </w:p>
          <w:p>
            <w:pPr>
              <w:spacing w:after="20"/>
            </w:pPr>
            <w:r>
              <w:t>The Ignition Score: find the most valuable accounts by revenue and profit together.</w:t>
            </w:r>
          </w:p>
          <w:p>
            <w:pPr>
              <w:spacing w:after="20"/>
            </w:pPr>
            <w:r/>
          </w:p>
          <w:p>
            <w:pPr>
              <w:spacing w:after="20"/>
            </w:pPr>
            <w:r>
              <w:t>"Do less. Make it mean more."</w:t>
            </w:r>
          </w:p>
          <w:p>
            <w:pPr>
              <w:spacing w:after="20"/>
            </w:pPr>
            <w:r/>
          </w:p>
          <w:p>
            <w:pPr>
              <w:spacing w:after="20"/>
            </w:pPr>
            <w:r>
              <w:t>The developer example: point of inspiration was a coming rate rise; messaging led with cash-flow-positive projects.</w:t>
            </w:r>
          </w:p>
        </w:tc>
        <w:tc>
          <w:tcPr>
            <w:tcW w:type="dxa" w:w="4349"/>
          </w:tcPr>
          <w:p>
            <w:pPr>
              <w:spacing w:after="20"/>
            </w:pPr>
            <w:r/>
            <w:r>
              <w:t>The ABM Workshop: the account team builds the journey maps, value propositions and messages for their top accounts, together, in the room. Workbook and posters.</w:t>
            </w:r>
          </w:p>
          <w:p>
            <w:pPr>
              <w:spacing w:after="20"/>
            </w:pPr>
            <w:r/>
          </w:p>
          <w:p>
            <w:pPr>
              <w:spacing w:after="20"/>
            </w:pPr>
            <w:r>
              <w:t>The Revenue Reveal to size where growth sits.</w:t>
            </w:r>
          </w:p>
          <w:p>
            <w:pPr>
              <w:spacing w:after="20"/>
            </w:pPr>
            <w:r/>
          </w:p>
          <w:p>
            <w:pPr>
              <w:spacing w:after="20"/>
            </w:pPr>
            <w:r>
              <w:t>Ignite's ABM Engine to keep it running.</w:t>
            </w:r>
          </w:p>
          <w:p>
            <w:pPr>
              <w:spacing w:after="20"/>
            </w:pPr>
            <w:r/>
          </w:p>
          <w:p>
            <w:pPr>
              <w:spacing w:after="20"/>
            </w:pPr>
            <w:r>
              <w:t>Taught with strategic account teams through the SAMA ABM Academy since 2021.</w:t>
            </w:r>
          </w:p>
        </w:tc>
        <w:tc>
          <w:tcPr>
            <w:tcW w:type="dxa" w:w="4349"/>
          </w:tcPr>
          <w:p>
            <w:pPr>
              <w:spacing w:after="20"/>
            </w:pPr>
            <w:r/>
            <w:r>
              <w:t>Kate and Dominique Côté: years teaching customer-led ABM to strategic account teams globally.</w:t>
            </w:r>
          </w:p>
          <w:p>
            <w:pPr>
              <w:spacing w:after="20"/>
            </w:pPr>
            <w:r/>
          </w:p>
          <w:p>
            <w:pPr>
              <w:spacing w:after="20"/>
            </w:pPr>
            <w:r>
              <w:t>Anonymized global life sciences workshops (Kate to confirm what can be said).</w:t>
            </w:r>
          </w:p>
          <w:p>
            <w:pPr>
              <w:spacing w:after="20"/>
            </w:pPr>
            <w:r/>
          </w:p>
          <w:p>
            <w:pPr>
              <w:spacing w:after="20"/>
            </w:pPr>
            <w:r>
              <w:t>Drive, Coach &amp; Sustain. Ignite runs continuously.</w:t>
            </w:r>
          </w:p>
          <w:p>
            <w:pPr>
              <w:spacing w:after="20"/>
            </w:pPr>
            <w:r/>
          </w:p>
          <w:p>
            <w:pPr>
              <w:spacing w:after="20"/>
            </w:pPr>
            <w:r>
              <w:t>The chain: own the mindshare early, own the market share, the share of wallet and the lifetime value.</w:t>
            </w:r>
          </w:p>
        </w:tc>
      </w:tr>
      <w:tr>
        <w:tc>
          <w:tcPr>
            <w:tcW w:type="dxa" w:w="1728"/>
            <w:shd w:val="clear" w:color="auto" w:fill="F2E6EE"/>
          </w:tcPr>
          <w:p>
            <w:r/>
            <w:r>
              <w:rPr>
                <w:b/>
                <w:color w:val="B52372"/>
                <w:sz w:val="18"/>
              </w:rPr>
              <w:t>Impact</w:t>
            </w:r>
          </w:p>
        </w:tc>
        <w:tc>
          <w:tcPr>
            <w:tcW w:type="dxa" w:w="4349"/>
          </w:tcPr>
          <w:p>
            <w:pPr>
              <w:spacing w:after="20"/>
            </w:pPr>
            <w:r/>
            <w:r>
              <w:t>Moves the question from "which accounts and which tool" to "where is each account in its own journey," so the team shows up at the trigger, before the shortlist.</w:t>
            </w:r>
          </w:p>
        </w:tc>
        <w:tc>
          <w:tcPr>
            <w:tcW w:type="dxa" w:w="4349"/>
          </w:tcPr>
          <w:p>
            <w:pPr>
              <w:spacing w:after="20"/>
            </w:pPr>
            <w:r/>
            <w:r>
              <w:t>Names the real gap: the approach, not the tools. The spend stops being the argument.</w:t>
            </w:r>
          </w:p>
        </w:tc>
        <w:tc>
          <w:tcPr>
            <w:tcW w:type="dxa" w:w="4349"/>
          </w:tcPr>
          <w:p>
            <w:pPr>
              <w:spacing w:after="20"/>
            </w:pPr>
            <w:r/>
            <w:r>
              <w:t>A repeatable way to build what to say, when, and who says it, for the accounts worth it.</w:t>
            </w:r>
          </w:p>
        </w:tc>
        <w:tc>
          <w:tcPr>
            <w:tcW w:type="dxa" w:w="4349"/>
          </w:tcPr>
          <w:p>
            <w:pPr>
              <w:spacing w:after="20"/>
            </w:pPr>
            <w:r/>
            <w:r>
              <w:t>In two days the team leaves with journey maps, value propositions and messages for its top accounts, built together, on top of the tools it already has.</w:t>
            </w:r>
          </w:p>
        </w:tc>
        <w:tc>
          <w:tcPr>
            <w:tcW w:type="dxa" w:w="4349"/>
          </w:tcPr>
          <w:p>
            <w:pPr>
              <w:spacing w:after="20"/>
            </w:pPr>
            <w:r/>
            <w:r>
              <w:t>Confidence it holds: the thinking lives in the account plan, it runs every quarter, and it's measured in share of wallet, not activity.</w:t>
            </w:r>
          </w:p>
        </w:tc>
      </w:tr>
      <w:tr>
        <w:tc>
          <w:tcPr>
            <w:tcW w:type="dxa" w:w="1728"/>
            <w:shd w:val="clear" w:color="auto" w:fill="F2E6EE"/>
          </w:tcPr>
          <w:p>
            <w:r/>
            <w:r>
              <w:rPr>
                <w:b/>
                <w:color w:val="B52372"/>
                <w:sz w:val="18"/>
              </w:rPr>
              <w:t>Value proposition</w:t>
            </w:r>
          </w:p>
        </w:tc>
        <w:tc>
          <w:tcPr>
            <w:tcW w:type="dxa" w:w="4349"/>
          </w:tcPr>
          <w:p>
            <w:pPr>
              <w:spacing w:after="20"/>
            </w:pPr>
            <w:r/>
            <w:r>
              <w:t>Because next year's growth sits in a few accounts, we map what those customers are thinking before they start shopping, so your team is in the conversation at the trigger, not in the vendor lineup.</w:t>
            </w:r>
          </w:p>
        </w:tc>
        <w:tc>
          <w:tcPr>
            <w:tcW w:type="dxa" w:w="4349"/>
          </w:tcPr>
          <w:p>
            <w:pPr>
              <w:spacing w:after="20"/>
            </w:pPr>
            <w:r/>
            <w:r>
              <w:t>Because your ABM has the tools but not the traction, we show you it's a thinking problem, not a software problem, and put the customer's journey at the center so sales and marketing run one plan.</w:t>
            </w:r>
          </w:p>
        </w:tc>
        <w:tc>
          <w:tcPr>
            <w:tcW w:type="dxa" w:w="4349"/>
          </w:tcPr>
          <w:p>
            <w:pPr>
              <w:spacing w:after="20"/>
            </w:pPr>
            <w:r/>
            <w:r>
              <w:t>Because you need a method, not more activity, we give you the sequence: understand the customer's journey first, then what you bring, then the message, so every touch lands where they are.</w:t>
            </w:r>
          </w:p>
        </w:tc>
        <w:tc>
          <w:tcPr>
            <w:tcW w:type="dxa" w:w="4349"/>
          </w:tcPr>
          <w:p>
            <w:pPr>
              <w:spacing w:after="20"/>
            </w:pPr>
            <w:r/>
            <w:r>
              <w:t>Because you want traction, not another initiative, we start with a workshop on your top accounts: your team builds the journey and the messages together, and Ignite keeps it running.</w:t>
            </w:r>
          </w:p>
        </w:tc>
        <w:tc>
          <w:tcPr>
            <w:tcW w:type="dxa" w:w="4349"/>
          </w:tcPr>
          <w:p>
            <w:pPr>
              <w:spacing w:after="20"/>
            </w:pPr>
            <w:r/>
            <w:r>
              <w:t>Because it has to hold after the workshop, we build the thinking into the account plan and keep it running, so mindshare early turns into share of wallet and lifetime value.</w:t>
            </w:r>
          </w:p>
        </w:tc>
      </w:tr>
      <w:tr>
        <w:tc>
          <w:tcPr>
            <w:tcW w:type="dxa" w:w="1728"/>
            <w:shd w:val="clear" w:color="auto" w:fill="F2E6EE"/>
          </w:tcPr>
          <w:p>
            <w:r/>
            <w:r>
              <w:rPr>
                <w:b/>
                <w:color w:val="B52372"/>
                <w:sz w:val="18"/>
              </w:rPr>
              <w:t>Message</w:t>
            </w:r>
          </w:p>
        </w:tc>
        <w:tc>
          <w:tcPr>
            <w:tcW w:type="dxa" w:w="4349"/>
          </w:tcPr>
          <w:p>
            <w:pPr>
              <w:spacing w:after="20"/>
            </w:pPr>
            <w:r/>
            <w:r>
              <w:t>RECOMMENDED: "By the time they're comparing vendors, the thinking is done. Where were you?"</w:t>
            </w:r>
          </w:p>
          <w:p>
            <w:pPr>
              <w:spacing w:after="20"/>
            </w:pPr>
            <w:r/>
          </w:p>
          <w:p>
            <w:pPr>
              <w:spacing w:after="20"/>
            </w:pPr>
            <w:r>
              <w:t>Alt: "Everyone shows up when they're shopping. Who showed up when it started?"</w:t>
            </w:r>
          </w:p>
          <w:p>
            <w:pPr>
              <w:spacing w:after="20"/>
            </w:pPr>
            <w:r/>
          </w:p>
          <w:p>
            <w:pPr>
              <w:spacing w:after="20"/>
            </w:pPr>
            <w:r>
              <w:t>Alt, cheeky: "Your ABM platform knows their name. Does it know what's keeping them up at night?"</w:t>
            </w:r>
          </w:p>
        </w:tc>
        <w:tc>
          <w:tcPr>
            <w:tcW w:type="dxa" w:w="4349"/>
          </w:tcPr>
          <w:p>
            <w:pPr>
              <w:spacing w:after="20"/>
            </w:pPr>
            <w:r/>
            <w:r>
              <w:t>RECOMMENDED: "Thoughtware before software." Line: "You bought the software. Where's the thoughtware?"</w:t>
            </w:r>
          </w:p>
          <w:p>
            <w:pPr>
              <w:spacing w:after="20"/>
            </w:pPr>
            <w:r/>
          </w:p>
          <w:p>
            <w:pPr>
              <w:spacing w:after="20"/>
            </w:pPr>
            <w:r>
              <w:t>Alt: "Two plans, one logo. That isn't account-based. That's a coincidence."</w:t>
            </w:r>
          </w:p>
          <w:p>
            <w:pPr>
              <w:spacing w:after="20"/>
            </w:pPr>
            <w:r/>
          </w:p>
          <w:p>
            <w:pPr>
              <w:spacing w:after="20"/>
            </w:pPr>
            <w:r>
              <w:t>Alt: "One-to-one, and still irrelevant."</w:t>
            </w:r>
          </w:p>
        </w:tc>
        <w:tc>
          <w:tcPr>
            <w:tcW w:type="dxa" w:w="4349"/>
          </w:tcPr>
          <w:p>
            <w:pPr>
              <w:spacing w:after="20"/>
            </w:pPr>
            <w:r/>
            <w:r>
              <w:t>RECOMMENDED: "Understand before you solve."</w:t>
            </w:r>
          </w:p>
          <w:p>
            <w:pPr>
              <w:spacing w:after="20"/>
            </w:pPr>
            <w:r/>
          </w:p>
          <w:p>
            <w:pPr>
              <w:spacing w:after="20"/>
            </w:pPr>
            <w:r>
              <w:t>Alt: "Know what they're thinking before you tell them what you do."</w:t>
            </w:r>
          </w:p>
          <w:p>
            <w:pPr>
              <w:spacing w:after="20"/>
            </w:pPr>
            <w:r/>
          </w:p>
          <w:p>
            <w:pPr>
              <w:spacing w:after="20"/>
            </w:pPr>
            <w:r>
              <w:t>Alt: "Same account. Same stage. Same message."</w:t>
            </w:r>
          </w:p>
        </w:tc>
        <w:tc>
          <w:tcPr>
            <w:tcW w:type="dxa" w:w="4349"/>
          </w:tcPr>
          <w:p>
            <w:pPr>
              <w:spacing w:after="20"/>
            </w:pPr>
            <w:r/>
            <w:r>
              <w:t>RECOMMENDED: "Two days. Your top accounts. One plan."</w:t>
            </w:r>
          </w:p>
          <w:p>
            <w:pPr>
              <w:spacing w:after="20"/>
            </w:pPr>
            <w:r/>
          </w:p>
          <w:p>
            <w:pPr>
              <w:spacing w:after="20"/>
            </w:pPr>
            <w:r>
              <w:t>Alt: "Bring the account team. Leave with the plan."</w:t>
            </w:r>
          </w:p>
          <w:p>
            <w:pPr>
              <w:spacing w:after="20"/>
            </w:pPr>
            <w:r/>
          </w:p>
          <w:p>
            <w:pPr>
              <w:spacing w:after="20"/>
            </w:pPr>
            <w:r>
              <w:t>Alt: "Thoughtware first. Then the software earns its keep."</w:t>
            </w:r>
          </w:p>
        </w:tc>
        <w:tc>
          <w:tcPr>
            <w:tcW w:type="dxa" w:w="4349"/>
          </w:tcPr>
          <w:p>
            <w:pPr>
              <w:spacing w:after="20"/>
            </w:pPr>
            <w:r/>
            <w:r>
              <w:t>RECOMMENDED: "Own the mindshare early. Own the market share later."</w:t>
            </w:r>
          </w:p>
          <w:p>
            <w:pPr>
              <w:spacing w:after="20"/>
            </w:pPr>
            <w:r/>
          </w:p>
          <w:p>
            <w:pPr>
              <w:spacing w:after="20"/>
            </w:pPr>
            <w:r>
              <w:t>Alt: "First in their thinking. First in their budget."</w:t>
            </w:r>
          </w:p>
          <w:p>
            <w:pPr>
              <w:spacing w:after="20"/>
            </w:pPr>
            <w:r/>
          </w:p>
          <w:p>
            <w:pPr>
              <w:spacing w:after="20"/>
            </w:pPr>
            <w:r>
              <w:t>Alt: "The platforms sell you reach. We help you be relevant."</w:t>
            </w:r>
          </w:p>
        </w:tc>
      </w:tr>
    </w:tbl>
    <w:p/>
    <w:p>
      <w:r>
        <w:rPr>
          <w:color w:val="55575A"/>
          <w:sz w:val="18"/>
        </w:rPr>
        <w:t>Creative thread: the spark. "A small action can create a point of inflection and brilliance" (your workshop close). Stage 1: a match struck early while everyone else waits at the vendor lineup. Stage 5: the fire that keeps going.</w:t>
      </w:r>
    </w:p>
    <w:p>
      <w:r>
        <w:rPr>
          <w:color w:val="55575A"/>
          <w:sz w:val="18"/>
        </w:rPr>
        <w:t>Open: which anonymized proof Kate can use at Stage 5; source checks on older stats (HBR 77%, Forrester 2015) before any copy uses them; whether the white paper is KB&amp;Co alone or co-authored with Dominique Côté.</w:t>
      </w:r>
    </w:p>
    <w:sectPr w:rsidR="00FC693F" w:rsidRPr="0006063C" w:rsidSect="00034616">
      <w:pgSz w:w="24480" w:h="158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anklin Gothic Book" w:hAnsi="Franklin Gothic Book" w:eastAsia="Franklin Gothic Book"/>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