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90F8" w14:textId="70166E27" w:rsidR="001A0E56" w:rsidRPr="00696286" w:rsidRDefault="00696286">
      <w:pPr>
        <w:pStyle w:val="Heading2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ICP: Group Corporate (with Comp Set &amp; Macro-Context Integration)</w:t>
      </w:r>
    </w:p>
    <w:p w14:paraId="50554ED6" w14:textId="77777777" w:rsidR="001A0E56" w:rsidRPr="00696286" w:rsidRDefault="00696286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1. </w:t>
      </w:r>
      <w:r w:rsidRPr="00696286">
        <w:rPr>
          <w:rFonts w:ascii="Franklin Gothic Book" w:eastAsia="Arial" w:hAnsi="Franklin Gothic Book" w:cs="Arial"/>
        </w:rPr>
        <w:t>Target Profile</w:t>
      </w:r>
    </w:p>
    <w:p w14:paraId="73BE524A" w14:textId="77777777" w:rsidR="001A0E56" w:rsidRPr="00696286" w:rsidRDefault="00696286">
      <w:pPr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Original:</w:t>
      </w:r>
    </w:p>
    <w:p w14:paraId="6767C5F6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Corporate, executive teams, leadership retreats, client summits—seeking exclusive, attentive, and flexible event settings (20–150+).</w:t>
      </w:r>
    </w:p>
    <w:p w14:paraId="1322498F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Regional/national (and potentially Canadian/international) decision-makers, mid-large company size, “experience over scale.”</w:t>
      </w:r>
    </w:p>
    <w:p w14:paraId="256CA89A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Planner goal: Memorable, seamless execution, balance of work/connection/leisure.</w:t>
      </w:r>
    </w:p>
    <w:p w14:paraId="548CD185" w14:textId="77777777" w:rsidR="001A0E56" w:rsidRPr="00696286" w:rsidRDefault="00696286">
      <w:pPr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With New Market/Comp Set Context:</w:t>
      </w:r>
    </w:p>
    <w:p w14:paraId="394EB049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Flight/unpredictability risk</w:t>
      </w:r>
      <w:r w:rsidRPr="00696286">
        <w:rPr>
          <w:rFonts w:ascii="Franklin Gothic Book" w:eastAsia="Arial" w:hAnsi="Franklin Gothic Book" w:cs="Arial"/>
        </w:rPr>
        <w:t xml:space="preserve"> shifts more group demand to regional/offsite locations that are “retreat-like” yet accessible by car or short-haul flight.</w:t>
      </w:r>
    </w:p>
    <w:p w14:paraId="1ACDB99D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Mega-hotels’ scale and luxury</w:t>
      </w:r>
      <w:r w:rsidRPr="00696286">
        <w:rPr>
          <w:rFonts w:ascii="Franklin Gothic Book" w:eastAsia="Arial" w:hAnsi="Franklin Gothic Book" w:cs="Arial"/>
        </w:rPr>
        <w:t xml:space="preserve"> (Broadmoor, Gaylord) remain “impressive” but can be overwhelming—pushing smaller, agile companies and boutique exec teams toward venues like Flying Horse, Garden of the Gods, and St Julien (for warmth, flexibility, focus).</w:t>
      </w:r>
    </w:p>
    <w:p w14:paraId="61566E63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Canadians/Int’l corporates:</w:t>
      </w:r>
      <w:r w:rsidRPr="00696286">
        <w:rPr>
          <w:rFonts w:ascii="Franklin Gothic Book" w:eastAsia="Arial" w:hAnsi="Franklin Gothic Book" w:cs="Arial"/>
        </w:rPr>
        <w:t xml:space="preserve"> In years with border issues or currency headwinds, groups get smaller, lean toward “value for experience,” emphasize flexibility in cancellation/move policies, and may want pricing transparency in CAD.</w:t>
      </w:r>
    </w:p>
    <w:p w14:paraId="4BD5A834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Hybrid events</w:t>
      </w:r>
      <w:r w:rsidRPr="00696286">
        <w:rPr>
          <w:rFonts w:ascii="Franklin Gothic Book" w:eastAsia="Arial" w:hAnsi="Franklin Gothic Book" w:cs="Arial"/>
        </w:rPr>
        <w:t xml:space="preserve"> on the rise: demand for flexible spaces and good tech for mixed in-person/remote attendees.</w:t>
      </w:r>
    </w:p>
    <w:p w14:paraId="5EA29D5E" w14:textId="77777777" w:rsidR="001A0E56" w:rsidRPr="00696286" w:rsidRDefault="00696286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2. </w:t>
      </w:r>
      <w:r w:rsidRPr="00696286">
        <w:rPr>
          <w:rFonts w:ascii="Franklin Gothic Book" w:eastAsia="Arial" w:hAnsi="Franklin Gothic Book" w:cs="Arial"/>
        </w:rPr>
        <w:t>Decision-Makers/Stakeholder Table (Adjusted)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3"/>
        <w:gridCol w:w="2107"/>
        <w:gridCol w:w="1074"/>
        <w:gridCol w:w="1706"/>
        <w:gridCol w:w="2464"/>
      </w:tblGrid>
      <w:tr w:rsidR="001A0E56" w:rsidRPr="00696286" w14:paraId="35DD60BC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7C0E1F" w14:textId="77777777" w:rsidR="001A0E56" w:rsidRPr="00696286" w:rsidRDefault="00696286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696286">
              <w:rPr>
                <w:rFonts w:ascii="Franklin Gothic Book" w:eastAsia="Arial" w:hAnsi="Franklin Gothic Book" w:cs="Arial"/>
                <w:b/>
                <w:bCs/>
                <w:sz w:val="18"/>
                <w:szCs w:val="18"/>
              </w:rPr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366F1C" w14:textId="77777777" w:rsidR="001A0E56" w:rsidRPr="00696286" w:rsidRDefault="00696286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696286">
              <w:rPr>
                <w:rFonts w:ascii="Franklin Gothic Book" w:eastAsia="Arial" w:hAnsi="Franklin Gothic Book" w:cs="Arial"/>
                <w:b/>
                <w:bCs/>
                <w:sz w:val="18"/>
                <w:szCs w:val="18"/>
              </w:rPr>
              <w:t>What They Care About (adjusted for market dynamics)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5179AF" w14:textId="77777777" w:rsidR="001A0E56" w:rsidRPr="00696286" w:rsidRDefault="00696286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696286">
              <w:rPr>
                <w:rFonts w:ascii="Franklin Gothic Book" w:eastAsia="Arial" w:hAnsi="Franklin Gothic Book" w:cs="Arial"/>
                <w:b/>
                <w:bCs/>
                <w:sz w:val="18"/>
                <w:szCs w:val="18"/>
              </w:rPr>
              <w:t>Customer’s Customer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B619CD" w14:textId="77777777" w:rsidR="001A0E56" w:rsidRPr="00696286" w:rsidRDefault="00696286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696286">
              <w:rPr>
                <w:rFonts w:ascii="Franklin Gothic Book" w:eastAsia="Arial" w:hAnsi="Franklin Gothic Book" w:cs="Arial"/>
                <w:b/>
                <w:bCs/>
                <w:sz w:val="18"/>
                <w:szCs w:val="18"/>
              </w:rPr>
              <w:t>What They Care About (adjusted)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087E2D" w14:textId="77777777" w:rsidR="001A0E56" w:rsidRPr="00696286" w:rsidRDefault="00696286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696286">
              <w:rPr>
                <w:rFonts w:ascii="Franklin Gothic Book" w:eastAsia="Arial" w:hAnsi="Franklin Gothic Book" w:cs="Arial"/>
                <w:b/>
                <w:bCs/>
                <w:sz w:val="18"/>
                <w:szCs w:val="18"/>
              </w:rPr>
              <w:t>Flying Horse Value Enabler (adjusted for comp/headwinds)</w:t>
            </w:r>
          </w:p>
        </w:tc>
      </w:tr>
      <w:tr w:rsidR="001A0E56" w:rsidRPr="00696286" w14:paraId="52A9C02F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D4E4B7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Meeting/Event Planner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5700D7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Confidence in backup plans; clear border/travel info if cross-border; flexible contracts; high-touch service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C8396F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Attendees (execs, partners, VIPs, board)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501E6E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Safety, comfort, meaningful “retreat” environment, easy logistics; “new/unique” not risky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AC4A43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Proactive risk management; clear international/cancellation policies; “retreat within reach” branding</w:t>
            </w:r>
          </w:p>
        </w:tc>
      </w:tr>
      <w:tr w:rsidR="001A0E56" w:rsidRPr="00696286" w14:paraId="56D6B661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3EAEBA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lastRenderedPageBreak/>
              <w:t>Executive Assistant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C205BC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“Will this make me look like a hero?”; simple, stress-free venue switch in case of geo-political/labor/health changes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62FA48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Senior decision-makers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284EBD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Privacy, adaptability, prestige, strong backup options; ease of rebooking or scaling events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614D13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High privacy/club-like setting, rigorous vendor protocols, flexible event terms</w:t>
            </w:r>
          </w:p>
        </w:tc>
      </w:tr>
      <w:tr w:rsidR="001A0E56" w:rsidRPr="00696286" w14:paraId="798CC3BB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1F9756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HR/People Ops Leader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FD6788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Wellness/mental health (due to recent burnout); mix of serious/fun; no travel “surprises”; group bonding, not just meetings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79831C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Leaders, employees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A76D37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Real connection, access to open air/wellness, positivity versus “convention energy”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15989F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Wellness/outdoor track options, hybrid event expertise, custom group experiences</w:t>
            </w:r>
          </w:p>
        </w:tc>
      </w:tr>
      <w:tr w:rsidR="001A0E56" w:rsidRPr="00696286" w14:paraId="42C5DD14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3DD113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CEO/Senior Leader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8A8E5B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ROI during uncertain year; cost control for weaker dollar/inflation; visible impact for company story/culture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842BB2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Senior leadership, clients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8D486C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Engagement, strategic breakthrough, sense of reward both in value/experience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201B58" w14:textId="77777777" w:rsidR="001A0E56" w:rsidRPr="00696286" w:rsidRDefault="00696286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Value-proof packages, bundled creative options; transparent pricing with no surprise fees</w:t>
            </w:r>
          </w:p>
        </w:tc>
      </w:tr>
    </w:tbl>
    <w:p w14:paraId="3BBF2780" w14:textId="77777777" w:rsidR="001A0E56" w:rsidRPr="00696286" w:rsidRDefault="00696286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3. </w:t>
      </w:r>
      <w:r w:rsidRPr="00696286">
        <w:rPr>
          <w:rFonts w:ascii="Franklin Gothic Book" w:eastAsia="Arial" w:hAnsi="Franklin Gothic Book" w:cs="Arial"/>
        </w:rPr>
        <w:t>Considered Market Shifts (Tailwinds/Headwinds/Competition):</w:t>
      </w:r>
    </w:p>
    <w:p w14:paraId="2F5B2E2C" w14:textId="77777777" w:rsidR="001A0E56" w:rsidRPr="00696286" w:rsidRDefault="00696286">
      <w:pPr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Tailwinds:</w:t>
      </w:r>
    </w:p>
    <w:p w14:paraId="58070B33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 xml:space="preserve">Domestic </w:t>
      </w:r>
      <w:proofErr w:type="gramStart"/>
      <w:r w:rsidRPr="00696286">
        <w:rPr>
          <w:rFonts w:ascii="Franklin Gothic Book" w:eastAsia="Arial" w:hAnsi="Franklin Gothic Book" w:cs="Arial"/>
        </w:rPr>
        <w:t>event</w:t>
      </w:r>
      <w:proofErr w:type="gramEnd"/>
      <w:r w:rsidRPr="00696286">
        <w:rPr>
          <w:rFonts w:ascii="Franklin Gothic Book" w:eastAsia="Arial" w:hAnsi="Franklin Gothic Book" w:cs="Arial"/>
        </w:rPr>
        <w:t xml:space="preserve"> demand up; “local retreat” stories land well.</w:t>
      </w:r>
    </w:p>
    <w:p w14:paraId="21458CBB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Authentic, tech-ready, and wellness-driven venues favored over “mega” impersonal options.</w:t>
      </w:r>
    </w:p>
    <w:p w14:paraId="04349650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Wellness, open-air, and hybrid experience design are more attractive post-pandemic.</w:t>
      </w:r>
    </w:p>
    <w:p w14:paraId="70772D43" w14:textId="77777777" w:rsidR="001A0E56" w:rsidRPr="00696286" w:rsidRDefault="00696286">
      <w:pPr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Headwinds:</w:t>
      </w:r>
    </w:p>
    <w:p w14:paraId="27105801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Price scrutiny: With inflation and currency shifts, decision-makers may hold back on premium “add-ons.”</w:t>
      </w:r>
    </w:p>
    <w:p w14:paraId="390CF129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Cross-border hesitancy: Need to de-risk Canadian/international group bookings.</w:t>
      </w:r>
    </w:p>
    <w:p w14:paraId="408C80B8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Labor volatility: If service/infrastructure is not best-in-class, decision-makers may stick with “the devil they know” (Broadmoor/Gaylord).</w:t>
      </w:r>
    </w:p>
    <w:p w14:paraId="6932EFFA" w14:textId="77777777" w:rsidR="001A0E56" w:rsidRPr="00696286" w:rsidRDefault="00696286">
      <w:pPr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Competitive Set Shifts:</w:t>
      </w:r>
    </w:p>
    <w:p w14:paraId="622D418E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lastRenderedPageBreak/>
        <w:t>Broadmoor/Gaylord:</w:t>
      </w:r>
      <w:r w:rsidRPr="00696286">
        <w:rPr>
          <w:rFonts w:ascii="Franklin Gothic Book" w:eastAsia="Arial" w:hAnsi="Franklin Gothic Book" w:cs="Arial"/>
        </w:rPr>
        <w:t xml:space="preserve"> Win big on scale, brand, and mega-events but can alienate exec teams who want privacy, quick pivots, and less red tape.</w:t>
      </w:r>
    </w:p>
    <w:p w14:paraId="7D38C876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Garden of the Gods/St Julien:</w:t>
      </w:r>
      <w:r w:rsidRPr="00696286">
        <w:rPr>
          <w:rFonts w:ascii="Franklin Gothic Book" w:eastAsia="Arial" w:hAnsi="Franklin Gothic Book" w:cs="Arial"/>
        </w:rPr>
        <w:t xml:space="preserve"> Great for creative, wellness, or boutique groups but may lack the event space or cachet Flying Horse can develop with tailored experiences.</w:t>
      </w:r>
    </w:p>
    <w:p w14:paraId="066F5BF2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Hotel Polaris:</w:t>
      </w:r>
      <w:r w:rsidRPr="00696286">
        <w:rPr>
          <w:rFonts w:ascii="Franklin Gothic Book" w:eastAsia="Arial" w:hAnsi="Franklin Gothic Book" w:cs="Arial"/>
        </w:rPr>
        <w:t xml:space="preserve"> Tech-forward, newer, and urban—may attract younger or “change-agent” teams but lacks the retreat/club feel.</w:t>
      </w:r>
    </w:p>
    <w:p w14:paraId="7926F6CD" w14:textId="77777777" w:rsidR="001A0E56" w:rsidRPr="00696286" w:rsidRDefault="00696286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4. </w:t>
      </w:r>
      <w:r w:rsidRPr="00696286">
        <w:rPr>
          <w:rFonts w:ascii="Franklin Gothic Book" w:eastAsia="Arial" w:hAnsi="Franklin Gothic Book" w:cs="Arial"/>
        </w:rPr>
        <w:t>Value Enablers: What Now Sets You Apart (Fine-Tuned)</w:t>
      </w:r>
    </w:p>
    <w:p w14:paraId="66D716E6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Flexible, worry-free planning:</w:t>
      </w:r>
      <w:r w:rsidRPr="00696286">
        <w:rPr>
          <w:rFonts w:ascii="Franklin Gothic Book" w:eastAsia="Arial" w:hAnsi="Franklin Gothic Book" w:cs="Arial"/>
        </w:rPr>
        <w:t xml:space="preserve"> “Plan with confidence—even in uncertain times.” Flexible date changes, border/currency guidance, transparent contracts.</w:t>
      </w:r>
    </w:p>
    <w:p w14:paraId="64965C48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Intimate but equipped:</w:t>
      </w:r>
      <w:r w:rsidRPr="00696286">
        <w:rPr>
          <w:rFonts w:ascii="Franklin Gothic Book" w:eastAsia="Arial" w:hAnsi="Franklin Gothic Book" w:cs="Arial"/>
        </w:rPr>
        <w:t xml:space="preserve"> “Retreat-caliber venue with best-in-class amenities”—never just generic function rooms.</w:t>
      </w:r>
    </w:p>
    <w:p w14:paraId="775F111E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Wellness, personalization, and “space to think”:</w:t>
      </w:r>
      <w:r w:rsidRPr="00696286">
        <w:rPr>
          <w:rFonts w:ascii="Franklin Gothic Book" w:eastAsia="Arial" w:hAnsi="Franklin Gothic Book" w:cs="Arial"/>
        </w:rPr>
        <w:t xml:space="preserve"> Wellness packages, outdoor options, wellness-fueled menus, and creative hybrid support.</w:t>
      </w:r>
    </w:p>
    <w:p w14:paraId="1520995F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Audience-inclusive service:</w:t>
      </w:r>
      <w:r w:rsidRPr="00696286">
        <w:rPr>
          <w:rFonts w:ascii="Franklin Gothic Book" w:eastAsia="Arial" w:hAnsi="Franklin Gothic Book" w:cs="Arial"/>
        </w:rPr>
        <w:t xml:space="preserve"> Concierge-level care for planners AND attendees—staff trained to anticipate group energy.</w:t>
      </w:r>
    </w:p>
    <w:p w14:paraId="1EA89387" w14:textId="77777777" w:rsidR="001A0E56" w:rsidRPr="00696286" w:rsidRDefault="00696286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5. </w:t>
      </w:r>
      <w:r w:rsidRPr="00696286">
        <w:rPr>
          <w:rFonts w:ascii="Franklin Gothic Book" w:eastAsia="Arial" w:hAnsi="Franklin Gothic Book" w:cs="Arial"/>
        </w:rPr>
        <w:t>Specific Messaging/Strategies to Adjust</w:t>
      </w:r>
    </w:p>
    <w:p w14:paraId="4430567E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For US-based groups:</w:t>
      </w:r>
      <w:r w:rsidRPr="00696286">
        <w:rPr>
          <w:rFonts w:ascii="Franklin Gothic Book" w:eastAsia="Arial" w:hAnsi="Franklin Gothic Book" w:cs="Arial"/>
        </w:rPr>
        <w:t xml:space="preserve"> “Why travel far? Bring focus, creativity, and renewal closer to home—with the flexibility you need in 2024.”</w:t>
      </w:r>
    </w:p>
    <w:p w14:paraId="0D72FF4F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For Canadian/Int’l prospects:</w:t>
      </w:r>
      <w:r w:rsidRPr="00696286">
        <w:rPr>
          <w:rFonts w:ascii="Franklin Gothic Book" w:eastAsia="Arial" w:hAnsi="Franklin Gothic Book" w:cs="Arial"/>
        </w:rPr>
        <w:t xml:space="preserve"> “Border-friendly: We’re here to guide you, with lowest-risk contracts, local currency packages, and proven flexibility.”</w:t>
      </w:r>
    </w:p>
    <w:p w14:paraId="0FB943E2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Against mega-hotels:</w:t>
      </w:r>
      <w:r w:rsidRPr="00696286">
        <w:rPr>
          <w:rFonts w:ascii="Franklin Gothic Book" w:eastAsia="Arial" w:hAnsi="Franklin Gothic Book" w:cs="Arial"/>
        </w:rPr>
        <w:t xml:space="preserve"> “Not one of a hundred groups—your people are at the center of everything here.”</w:t>
      </w:r>
    </w:p>
    <w:p w14:paraId="516DE1D5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Against urban/convention options:</w:t>
      </w:r>
      <w:r w:rsidRPr="00696286">
        <w:rPr>
          <w:rFonts w:ascii="Franklin Gothic Book" w:eastAsia="Arial" w:hAnsi="Franklin Gothic Book" w:cs="Arial"/>
        </w:rPr>
        <w:t xml:space="preserve"> “Discovery, peace, and breakthrough thinking—your retreat, not a hustle.”</w:t>
      </w:r>
    </w:p>
    <w:p w14:paraId="7F7D9313" w14:textId="77777777" w:rsidR="001A0E56" w:rsidRPr="00696286" w:rsidRDefault="00696286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6. </w:t>
      </w:r>
      <w:r w:rsidRPr="00696286">
        <w:rPr>
          <w:rFonts w:ascii="Franklin Gothic Book" w:eastAsia="Arial" w:hAnsi="Franklin Gothic Book" w:cs="Arial"/>
        </w:rPr>
        <w:t>Blind Spots to Watch</w:t>
      </w:r>
    </w:p>
    <w:p w14:paraId="0F8032EC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Over-indexing on “luxury” without explicitly explaining your adaptability or policy flexibility can mute differentiation.</w:t>
      </w:r>
    </w:p>
    <w:p w14:paraId="442E3451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Failing to communicate your staff’s expertise with risk management, hybrid/remote, and cross-border groups misses a winnable segment.</w:t>
      </w:r>
    </w:p>
    <w:p w14:paraId="3B99E430" w14:textId="77777777" w:rsidR="001A0E56" w:rsidRPr="00696286" w:rsidRDefault="0069628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Underestimating the pull toward wellness and personalization—these are not “trends,” but expected table stakes post-pandemic.</w:t>
      </w:r>
    </w:p>
    <w:sectPr w:rsidR="001A0E56" w:rsidRPr="006962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489B"/>
    <w:multiLevelType w:val="hybridMultilevel"/>
    <w:tmpl w:val="542A4352"/>
    <w:lvl w:ilvl="0" w:tplc="00FAE07C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9F74ABFA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019AF16E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9F0292C6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53DCB106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B16C3262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375633A6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B52283BC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5B263FC0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abstractNum w:abstractNumId="1" w15:restartNumberingAfterBreak="0">
    <w:nsid w:val="7D882FD4"/>
    <w:multiLevelType w:val="hybridMultilevel"/>
    <w:tmpl w:val="242CF4B2"/>
    <w:lvl w:ilvl="0" w:tplc="12081BFC">
      <w:start w:val="1"/>
      <w:numFmt w:val="bullet"/>
      <w:lvlText w:val="●"/>
      <w:lvlJc w:val="left"/>
      <w:pPr>
        <w:ind w:left="720" w:hanging="360"/>
      </w:pPr>
    </w:lvl>
    <w:lvl w:ilvl="1" w:tplc="F69446E6">
      <w:start w:val="1"/>
      <w:numFmt w:val="bullet"/>
      <w:lvlText w:val="○"/>
      <w:lvlJc w:val="left"/>
      <w:pPr>
        <w:ind w:left="1440" w:hanging="360"/>
      </w:pPr>
    </w:lvl>
    <w:lvl w:ilvl="2" w:tplc="717AE644">
      <w:start w:val="1"/>
      <w:numFmt w:val="bullet"/>
      <w:lvlText w:val="■"/>
      <w:lvlJc w:val="left"/>
      <w:pPr>
        <w:ind w:left="2160" w:hanging="360"/>
      </w:pPr>
    </w:lvl>
    <w:lvl w:ilvl="3" w:tplc="7BE0A2A6">
      <w:start w:val="1"/>
      <w:numFmt w:val="bullet"/>
      <w:lvlText w:val="●"/>
      <w:lvlJc w:val="left"/>
      <w:pPr>
        <w:ind w:left="2880" w:hanging="360"/>
      </w:pPr>
    </w:lvl>
    <w:lvl w:ilvl="4" w:tplc="3468EDAE">
      <w:start w:val="1"/>
      <w:numFmt w:val="bullet"/>
      <w:lvlText w:val="○"/>
      <w:lvlJc w:val="left"/>
      <w:pPr>
        <w:ind w:left="3600" w:hanging="360"/>
      </w:pPr>
    </w:lvl>
    <w:lvl w:ilvl="5" w:tplc="C4D81714">
      <w:start w:val="1"/>
      <w:numFmt w:val="bullet"/>
      <w:lvlText w:val="■"/>
      <w:lvlJc w:val="left"/>
      <w:pPr>
        <w:ind w:left="4320" w:hanging="360"/>
      </w:pPr>
    </w:lvl>
    <w:lvl w:ilvl="6" w:tplc="B4549292">
      <w:start w:val="1"/>
      <w:numFmt w:val="bullet"/>
      <w:lvlText w:val="●"/>
      <w:lvlJc w:val="left"/>
      <w:pPr>
        <w:ind w:left="5040" w:hanging="360"/>
      </w:pPr>
    </w:lvl>
    <w:lvl w:ilvl="7" w:tplc="832C9548">
      <w:start w:val="1"/>
      <w:numFmt w:val="bullet"/>
      <w:lvlText w:val="●"/>
      <w:lvlJc w:val="left"/>
      <w:pPr>
        <w:ind w:left="5760" w:hanging="360"/>
      </w:pPr>
    </w:lvl>
    <w:lvl w:ilvl="8" w:tplc="76C00218">
      <w:start w:val="1"/>
      <w:numFmt w:val="bullet"/>
      <w:lvlText w:val="●"/>
      <w:lvlJc w:val="left"/>
      <w:pPr>
        <w:ind w:left="6480" w:hanging="360"/>
      </w:pPr>
    </w:lvl>
  </w:abstractNum>
  <w:num w:numId="1" w16cid:durableId="678628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E56"/>
    <w:rsid w:val="001A0E56"/>
    <w:rsid w:val="003B0518"/>
    <w:rsid w:val="004029AD"/>
    <w:rsid w:val="00696286"/>
    <w:rsid w:val="008C32C1"/>
    <w:rsid w:val="00FB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862AD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708</Words>
  <Characters>4752</Characters>
  <Application>Microsoft Office Word</Application>
  <DocSecurity>0</DocSecurity>
  <Lines>168</Lines>
  <Paragraphs>64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3</cp:revision>
  <dcterms:created xsi:type="dcterms:W3CDTF">2025-07-09T21:55:00Z</dcterms:created>
  <dcterms:modified xsi:type="dcterms:W3CDTF">2026-02-17T23:44:00Z</dcterms:modified>
</cp:coreProperties>
</file>