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]</w:t>
      </w:r>
      <w:r>
        <w:rPr>
          <w:rFonts w:ascii="Arial" w:cs="Arial" w:eastAsia="Arial" w:hAnsi="Arial"/>
          <w:b/>
          <w:bCs/>
          <w:i w:val="false"/>
          <w:iCs w:val="false"/>
          <w:strike w:val="false"/>
        </w:rPr>
        <w:t xml:space="preserve">Blind Spot &amp; Bias Analysis (with Elimination Pathways)</w:t>
      </w:r>
    </w:p>
    <w:p>
      <w:pPr>
        <w:pStyle w:val="Heading2"/>
        <w:rPr>
          <w:b/>
          <w:bCs/>
        </w:rPr>
      </w:pPr>
      <w:r>
        <w:rPr>
          <w:rFonts w:ascii="Arial" w:cs="Arial" w:eastAsia="Arial" w:hAnsi="Arial"/>
          <w:b/>
          <w:bCs/>
          <w:i w:val="false"/>
          <w:iCs w:val="false"/>
          <w:strike w:val="false"/>
        </w:rPr>
        <w:t xml:space="preserve">1. Blind Spot &amp; Bias Detector Table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1927"/>
        <w:gridCol w:w="1927"/>
        <w:gridCol w:w="1927"/>
        <w:gridCol w:w="1927"/>
      </w:tblGrid>
      <w:tr>
        <w:trPr>
          <w:cantSplit w:val="false"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tcMar>
              <w:top w:type="dxa" w:w="20"/>
              <w:left w:type="dxa" w:w="20"/>
              <w:bottom w:type="dxa" w:w="20"/>
              <w:right w:type="dxa" w:w="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Strategic Element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tcMar>
              <w:top w:type="dxa" w:w="20"/>
              <w:left w:type="dxa" w:w="20"/>
              <w:bottom w:type="dxa" w:w="20"/>
              <w:right w:type="dxa" w:w="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Potential Blind Spot or Bias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tcMar>
              <w:top w:type="dxa" w:w="20"/>
              <w:left w:type="dxa" w:w="20"/>
              <w:bottom w:type="dxa" w:w="20"/>
              <w:right w:type="dxa" w:w="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Evidence/Context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tcMar>
              <w:top w:type="dxa" w:w="20"/>
              <w:left w:type="dxa" w:w="20"/>
              <w:bottom w:type="dxa" w:w="20"/>
              <w:right w:type="dxa" w:w="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Risk Level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tcMar>
              <w:top w:type="dxa" w:w="20"/>
              <w:left w:type="dxa" w:w="20"/>
              <w:bottom w:type="dxa" w:w="20"/>
              <w:right w:type="dxa" w:w="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Suggested Mitigation / Guided Interview</w:t>
            </w:r>
          </w:p>
        </w:tc>
      </w:tr>
      <w:tr>
        <w:trPr>
          <w:cantSplit w:val="false"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tcMar>
              <w:top w:type="dxa" w:w="20"/>
              <w:left w:type="dxa" w:w="20"/>
              <w:bottom w:type="dxa" w:w="20"/>
              <w:right w:type="dxa" w:w="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Positioning Statement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tcMar>
              <w:top w:type="dxa" w:w="20"/>
              <w:left w:type="dxa" w:w="20"/>
              <w:bottom w:type="dxa" w:w="20"/>
              <w:right w:type="dxa" w:w="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Over-reliance on “belonging/care” emotions for all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tcMar>
              <w:top w:type="dxa" w:w="20"/>
              <w:left w:type="dxa" w:w="20"/>
              <w:bottom w:type="dxa" w:w="20"/>
              <w:right w:type="dxa" w:w="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Heavy emphasis on personalization/warmth as universal decision drivers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tcMar>
              <w:top w:type="dxa" w:w="20"/>
              <w:left w:type="dxa" w:w="20"/>
              <w:bottom w:type="dxa" w:w="20"/>
              <w:right w:type="dxa" w:w="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MED-HIGH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tcMar>
              <w:top w:type="dxa" w:w="20"/>
              <w:left w:type="dxa" w:w="20"/>
              <w:bottom w:type="dxa" w:w="20"/>
              <w:right w:type="dxa" w:w="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Conduct validation interviews: “What single word do you associate with us?” “Is belonging truly unique to us?” Interview lost group/wedding deals.</w:t>
            </w:r>
          </w:p>
        </w:tc>
      </w:tr>
      <w:tr>
        <w:trPr>
          <w:cantSplit w:val="false"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tcMar>
              <w:top w:type="dxa" w:w="20"/>
              <w:left w:type="dxa" w:w="20"/>
              <w:bottom w:type="dxa" w:w="20"/>
              <w:right w:type="dxa" w:w="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tcMar>
              <w:top w:type="dxa" w:w="20"/>
              <w:left w:type="dxa" w:w="20"/>
              <w:bottom w:type="dxa" w:w="20"/>
              <w:right w:type="dxa" w:w="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Assuming club-level, personal service is main differentiator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tcMar>
              <w:top w:type="dxa" w:w="20"/>
              <w:left w:type="dxa" w:w="20"/>
              <w:bottom w:type="dxa" w:w="20"/>
              <w:right w:type="dxa" w:w="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Comp set may also promise “attentive” service; could blur without proof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tcMar>
              <w:top w:type="dxa" w:w="20"/>
              <w:left w:type="dxa" w:w="20"/>
              <w:bottom w:type="dxa" w:w="20"/>
              <w:right w:type="dxa" w:w="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MED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tcMar>
              <w:top w:type="dxa" w:w="20"/>
              <w:left w:type="dxa" w:w="20"/>
              <w:bottom w:type="dxa" w:w="20"/>
              <w:right w:type="dxa" w:w="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Collect and use concrete guest testimonials about surprise/real differentiation; Mystery shop competitors.</w:t>
            </w:r>
          </w:p>
        </w:tc>
      </w:tr>
      <w:tr>
        <w:trPr>
          <w:cantSplit w:val="false"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tcMar>
              <w:top w:type="dxa" w:w="20"/>
              <w:left w:type="dxa" w:w="20"/>
              <w:bottom w:type="dxa" w:w="20"/>
              <w:right w:type="dxa" w:w="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ICPs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tcMar>
              <w:top w:type="dxa" w:w="20"/>
              <w:left w:type="dxa" w:w="20"/>
              <w:bottom w:type="dxa" w:w="20"/>
              <w:right w:type="dxa" w:w="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Stereotyping decision-makers (e.g., EAs care only about logistics, couples all want “authenticity”)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tcMar>
              <w:top w:type="dxa" w:w="20"/>
              <w:left w:type="dxa" w:w="20"/>
              <w:bottom w:type="dxa" w:w="20"/>
              <w:right w:type="dxa" w:w="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Most personas are aspirational “best” customers, some impurity in real-world diversity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tcMar>
              <w:top w:type="dxa" w:w="20"/>
              <w:left w:type="dxa" w:w="20"/>
              <w:bottom w:type="dxa" w:w="20"/>
              <w:right w:type="dxa" w:w="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LOW-MED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tcMar>
              <w:top w:type="dxa" w:w="20"/>
              <w:left w:type="dxa" w:w="20"/>
              <w:bottom w:type="dxa" w:w="20"/>
              <w:right w:type="dxa" w:w="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Supplement personas with “Edge Case” research—find non-core or dissatisfied planners/couples/guests and capture “why not us.”</w:t>
            </w:r>
          </w:p>
        </w:tc>
      </w:tr>
      <w:tr>
        <w:trPr>
          <w:cantSplit w:val="false"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tcMar>
              <w:top w:type="dxa" w:w="20"/>
              <w:left w:type="dxa" w:w="20"/>
              <w:bottom w:type="dxa" w:w="20"/>
              <w:right w:type="dxa" w:w="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tcMar>
              <w:top w:type="dxa" w:w="20"/>
              <w:left w:type="dxa" w:w="20"/>
              <w:bottom w:type="dxa" w:w="20"/>
              <w:right w:type="dxa" w:w="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Confirmation/Recency bias in pain point selection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tcMar>
              <w:top w:type="dxa" w:w="20"/>
              <w:left w:type="dxa" w:w="20"/>
              <w:bottom w:type="dxa" w:w="20"/>
              <w:right w:type="dxa" w:w="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Bias toward recent anecdotes/interviews; missing silent objectors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tcMar>
              <w:top w:type="dxa" w:w="20"/>
              <w:left w:type="dxa" w:w="20"/>
              <w:bottom w:type="dxa" w:w="20"/>
              <w:right w:type="dxa" w:w="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HIGH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tcMar>
              <w:top w:type="dxa" w:w="20"/>
              <w:left w:type="dxa" w:w="20"/>
              <w:bottom w:type="dxa" w:w="20"/>
              <w:right w:type="dxa" w:w="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Pre-booking loss review: Ask, “What almost kept you from booking?” Aggressively seek review/feedback from non-renewing clients.</w:t>
            </w:r>
          </w:p>
        </w:tc>
      </w:tr>
      <w:tr>
        <w:trPr>
          <w:cantSplit w:val="false"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tcMar>
              <w:top w:type="dxa" w:w="20"/>
              <w:left w:type="dxa" w:w="20"/>
              <w:bottom w:type="dxa" w:w="20"/>
              <w:right w:type="dxa" w:w="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Value Prop &amp; GTM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tcMar>
              <w:top w:type="dxa" w:w="20"/>
              <w:left w:type="dxa" w:w="20"/>
              <w:bottom w:type="dxa" w:w="20"/>
              <w:right w:type="dxa" w:w="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Overconfidence bias (assuming current flexible policies are visible, valued, world-class)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tcMar>
              <w:top w:type="dxa" w:w="20"/>
              <w:left w:type="dxa" w:w="20"/>
              <w:bottom w:type="dxa" w:w="20"/>
              <w:right w:type="dxa" w:w="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“We flex” heavily claimed, but do new prospects see or believe it?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tcMar>
              <w:top w:type="dxa" w:w="20"/>
              <w:left w:type="dxa" w:w="20"/>
              <w:bottom w:type="dxa" w:w="20"/>
              <w:right w:type="dxa" w:w="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MED-HIGH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tcMar>
              <w:top w:type="dxa" w:w="20"/>
              <w:left w:type="dxa" w:w="20"/>
              <w:bottom w:type="dxa" w:w="20"/>
              <w:right w:type="dxa" w:w="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Test messaging with recent prospects, especially those who “shopped us but didn’t buy.”</w:t>
            </w:r>
          </w:p>
        </w:tc>
      </w:tr>
      <w:tr>
        <w:trPr>
          <w:cantSplit w:val="false"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tcMar>
              <w:top w:type="dxa" w:w="20"/>
              <w:left w:type="dxa" w:w="20"/>
              <w:bottom w:type="dxa" w:w="20"/>
              <w:right w:type="dxa" w:w="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tcMar>
              <w:top w:type="dxa" w:w="20"/>
              <w:left w:type="dxa" w:w="20"/>
              <w:bottom w:type="dxa" w:w="20"/>
              <w:right w:type="dxa" w:w="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Framing bias in “hidden gem”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tcMar>
              <w:top w:type="dxa" w:w="20"/>
              <w:left w:type="dxa" w:w="20"/>
              <w:bottom w:type="dxa" w:w="20"/>
              <w:right w:type="dxa" w:w="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Marketing language presumes “discovery” is a motivator; some segments value prestige/scale over intimacy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tcMar>
              <w:top w:type="dxa" w:w="20"/>
              <w:left w:type="dxa" w:w="20"/>
              <w:bottom w:type="dxa" w:w="20"/>
              <w:right w:type="dxa" w:w="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MED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tcMar>
              <w:top w:type="dxa" w:w="20"/>
              <w:left w:type="dxa" w:w="20"/>
              <w:bottom w:type="dxa" w:w="20"/>
              <w:right w:type="dxa" w:w="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Test “discovery club” language with a/b split to “prestige-seekers.” Review NPS by segment (corporate, wedding, SMERFE, etc).</w:t>
            </w:r>
          </w:p>
        </w:tc>
      </w:tr>
      <w:tr>
        <w:trPr>
          <w:cantSplit w:val="false"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tcMar>
              <w:top w:type="dxa" w:w="20"/>
              <w:left w:type="dxa" w:w="20"/>
              <w:bottom w:type="dxa" w:w="20"/>
              <w:right w:type="dxa" w:w="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Brand Guide/Behavior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tcMar>
              <w:top w:type="dxa" w:w="20"/>
              <w:left w:type="dxa" w:w="20"/>
              <w:bottom w:type="dxa" w:w="20"/>
              <w:right w:type="dxa" w:w="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Halo/homogeneity bias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tcMar>
              <w:top w:type="dxa" w:w="20"/>
              <w:left w:type="dxa" w:w="20"/>
              <w:bottom w:type="dxa" w:w="20"/>
              <w:right w:type="dxa" w:w="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Brand persona built on warmth/flex. Could miss “exclusivity/status” expectations of some luxury buyers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tcMar>
              <w:top w:type="dxa" w:w="20"/>
              <w:left w:type="dxa" w:w="20"/>
              <w:bottom w:type="dxa" w:w="20"/>
              <w:right w:type="dxa" w:w="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MED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tcMar>
              <w:top w:type="dxa" w:w="20"/>
              <w:left w:type="dxa" w:w="20"/>
              <w:bottom w:type="dxa" w:w="20"/>
              <w:right w:type="dxa" w:w="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Ask: “Is hospitality why you booked, or was it a nice bonus?” Interview 5 lost ultra-luxury prospects for exact dealbreakers.</w:t>
            </w:r>
          </w:p>
        </w:tc>
      </w:tr>
      <w:tr>
        <w:trPr>
          <w:cantSplit w:val="false"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tcMar>
              <w:top w:type="dxa" w:w="20"/>
              <w:left w:type="dxa" w:w="20"/>
              <w:bottom w:type="dxa" w:w="20"/>
              <w:right w:type="dxa" w:w="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tcMar>
              <w:top w:type="dxa" w:w="20"/>
              <w:left w:type="dxa" w:w="20"/>
              <w:bottom w:type="dxa" w:w="20"/>
              <w:right w:type="dxa" w:w="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Underestimating tech-centric or “buzz-seeking” segment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tcMar>
              <w:top w:type="dxa" w:w="20"/>
              <w:left w:type="dxa" w:w="20"/>
              <w:bottom w:type="dxa" w:w="20"/>
              <w:right w:type="dxa" w:w="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Social/experiential micro-moments emphasized less than story/belonging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tcMar>
              <w:top w:type="dxa" w:w="20"/>
              <w:left w:type="dxa" w:w="20"/>
              <w:bottom w:type="dxa" w:w="20"/>
              <w:right w:type="dxa" w:w="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LOW-MED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tcMar>
              <w:top w:type="dxa" w:w="20"/>
              <w:left w:type="dxa" w:w="20"/>
              <w:bottom w:type="dxa" w:w="20"/>
              <w:right w:type="dxa" w:w="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Monitor reviews/social: Are guests posting about “experience” or just “how it felt”? Add “FOMO” checklist to event design.</w:t>
            </w:r>
          </w:p>
        </w:tc>
      </w:tr>
      <w:tr>
        <w:trPr>
          <w:cantSplit w:val="false"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tcMar>
              <w:top w:type="dxa" w:w="20"/>
              <w:left w:type="dxa" w:w="20"/>
              <w:bottom w:type="dxa" w:w="20"/>
              <w:right w:type="dxa" w:w="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Customer Journey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tcMar>
              <w:top w:type="dxa" w:w="20"/>
              <w:left w:type="dxa" w:w="20"/>
              <w:bottom w:type="dxa" w:w="20"/>
              <w:right w:type="dxa" w:w="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Neglecting post-stay/long-term loyalty “silent churn”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tcMar>
              <w:top w:type="dxa" w:w="20"/>
              <w:left w:type="dxa" w:w="20"/>
              <w:bottom w:type="dxa" w:w="20"/>
              <w:right w:type="dxa" w:w="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Follow-up is assumed, but is it memorable, timely, truly belonging-inducing?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tcMar>
              <w:top w:type="dxa" w:w="20"/>
              <w:left w:type="dxa" w:w="20"/>
              <w:bottom w:type="dxa" w:w="20"/>
              <w:right w:type="dxa" w:w="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HIGH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tcMar>
              <w:top w:type="dxa" w:w="20"/>
              <w:left w:type="dxa" w:w="20"/>
              <w:bottom w:type="dxa" w:w="20"/>
              <w:right w:type="dxa" w:w="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Audit post-event/follow-up workflow. Survey recent guests: “Did you hear from us?” and “Would you host with us again?”</w:t>
            </w:r>
          </w:p>
        </w:tc>
      </w:tr>
      <w:tr>
        <w:trPr>
          <w:cantSplit w:val="false"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tcMar>
              <w:top w:type="dxa" w:w="20"/>
              <w:left w:type="dxa" w:w="20"/>
              <w:bottom w:type="dxa" w:w="20"/>
              <w:right w:type="dxa" w:w="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tcMar>
              <w:top w:type="dxa" w:w="20"/>
              <w:left w:type="dxa" w:w="20"/>
              <w:bottom w:type="dxa" w:w="20"/>
              <w:right w:type="dxa" w:w="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Too much focus on planner/organizer; less on attendee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tcMar>
              <w:top w:type="dxa" w:w="20"/>
              <w:left w:type="dxa" w:w="20"/>
              <w:bottom w:type="dxa" w:w="20"/>
              <w:right w:type="dxa" w:w="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Many comms designed for buyers, not experience of end-users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tcMar>
              <w:top w:type="dxa" w:w="20"/>
              <w:left w:type="dxa" w:w="20"/>
              <w:bottom w:type="dxa" w:w="20"/>
              <w:right w:type="dxa" w:w="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MED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tcMar>
              <w:top w:type="dxa" w:w="20"/>
              <w:left w:type="dxa" w:w="20"/>
              <w:bottom w:type="dxa" w:w="20"/>
              <w:right w:type="dxa" w:w="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Expand feedback loops post-event: anonymous attendee and guest surveys, not just planner review.</w:t>
            </w:r>
          </w:p>
        </w:tc>
      </w:tr>
      <w:tr>
        <w:trPr>
          <w:cantSplit w:val="false"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tcMar>
              <w:top w:type="dxa" w:w="20"/>
              <w:left w:type="dxa" w:w="20"/>
              <w:bottom w:type="dxa" w:w="20"/>
              <w:right w:type="dxa" w:w="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Moments Analysis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tcMar>
              <w:top w:type="dxa" w:w="20"/>
              <w:left w:type="dxa" w:w="20"/>
              <w:bottom w:type="dxa" w:w="20"/>
              <w:right w:type="dxa" w:w="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Recency bias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tcMar>
              <w:top w:type="dxa" w:w="20"/>
              <w:left w:type="dxa" w:w="20"/>
              <w:bottom w:type="dxa" w:w="20"/>
              <w:right w:type="dxa" w:w="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“Peak moments” may over-emphasize newer trends or COVID-era service rituals.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tcMar>
              <w:top w:type="dxa" w:w="20"/>
              <w:left w:type="dxa" w:w="20"/>
              <w:bottom w:type="dxa" w:w="20"/>
              <w:right w:type="dxa" w:w="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MED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tcMar>
              <w:top w:type="dxa" w:w="20"/>
              <w:left w:type="dxa" w:w="20"/>
              <w:bottom w:type="dxa" w:w="20"/>
              <w:right w:type="dxa" w:w="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Solicit feedback on “moment” ROI: What single experience made your stay/event memorable? Adjust to evolving guest desires.</w:t>
            </w:r>
          </w:p>
        </w:tc>
      </w:tr>
    </w:tbl>
    <w:p>
      <w:pPr>
        <w:pStyle w:val="Heading2"/>
        <w:rPr>
          <w:b/>
          <w:bCs/>
        </w:rPr>
      </w:pPr>
      <w:r>
        <w:rPr>
          <w:rFonts w:ascii="Arial" w:cs="Arial" w:eastAsia="Arial" w:hAnsi="Arial"/>
          <w:b/>
          <w:bCs/>
          <w:i w:val="false"/>
          <w:iCs w:val="false"/>
          <w:strike w:val="false"/>
        </w:rPr>
        <w:t xml:space="preserve">2. High-Risk Blind Spots: Action Plan &amp; Guided Interview</w:t>
      </w:r>
    </w:p>
    <w:p>
      <w:pPr>
        <w:pStyle w:val="Heading3"/>
        <w:rPr>
          <w:b/>
          <w:bCs/>
        </w:rPr>
      </w:pPr>
      <w:r>
        <w:rPr>
          <w:rFonts w:ascii="Arial" w:cs="Arial" w:eastAsia="Arial" w:hAnsi="Arial"/>
          <w:b/>
          <w:bCs/>
          <w:i w:val="false"/>
          <w:iCs w:val="false"/>
          <w:strike w:val="false"/>
        </w:rPr>
        <w:t xml:space="preserve">A. Over-indexing on Belonging/Personalization as Unique Differentiator</w:t>
      </w:r>
    </w:p>
    <w:p>
      <w:pPr>
        <w:pStyle w:val="ListParagraph"/>
        <w:numPr>
          <w:ilvl w:val="0"/>
          <w:numId w:val="1"/>
        </w:numPr>
        <w:spacing w:before="30" w:after="30" w:line="276"/>
        <w:ind w:left="720" w:hanging="360"/>
      </w:pPr>
      <w:r>
        <w:rPr>
          <w:rFonts w:ascii="Arial" w:cs="Arial" w:eastAsia="Arial" w:hAnsi="Arial"/>
          <w:b/>
          <w:bCs/>
          <w:i w:val="false"/>
          <w:iCs w:val="false"/>
          <w:strike w:val="false"/>
        </w:rPr>
        <w:t xml:space="preserve">Why It’s Risky: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Many upper-upscale competitors claim “attentive, belonging-driven” service—if Flying Horse doesn’t surface </w:t>
      </w:r>
      <w:r>
        <w:rPr>
          <w:rFonts w:ascii="Arial" w:cs="Arial" w:eastAsia="Arial" w:hAnsi="Arial"/>
          <w:b w:val="false"/>
          <w:bCs w:val="false"/>
          <w:i/>
          <w:iCs/>
          <w:strike w:val="false"/>
        </w:rPr>
        <w:t xml:space="preserve">tangible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moments of difference, message may seem generic.</w:t>
      </w:r>
    </w:p>
    <w:p>
      <w:pPr>
        <w:pStyle w:val="ListParagraph"/>
        <w:numPr>
          <w:ilvl w:val="0"/>
          <w:numId w:val="1"/>
        </w:numPr>
        <w:spacing w:before="30" w:after="30" w:line="276"/>
        <w:ind w:left="720" w:hanging="360"/>
      </w:pPr>
      <w:r>
        <w:rPr>
          <w:rFonts w:ascii="Arial" w:cs="Arial" w:eastAsia="Arial" w:hAnsi="Arial"/>
          <w:b/>
          <w:bCs/>
          <w:i w:val="false"/>
          <w:iCs w:val="false"/>
          <w:strike w:val="false"/>
        </w:rPr>
        <w:t xml:space="preserve">Guided Questions:</w:t>
      </w:r>
    </w:p>
    <w:p>
      <w:pPr>
        <w:pStyle w:val="ListParagraph"/>
        <w:numPr>
          <w:ilvl w:val="1"/>
          <w:numId w:val="1"/>
        </w:numPr>
        <w:spacing w:before="30" w:after="30" w:line="276"/>
        <w:ind w:left="1440" w:hanging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“When you booked, what did you believe you’d get here that you couldn’t elsewhere?”</w:t>
      </w:r>
    </w:p>
    <w:p>
      <w:pPr>
        <w:pStyle w:val="ListParagraph"/>
        <w:numPr>
          <w:ilvl w:val="1"/>
          <w:numId w:val="1"/>
        </w:numPr>
        <w:spacing w:before="30" w:after="30" w:line="276"/>
        <w:ind w:left="1440" w:hanging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“Can you describe a specific moment that separated Flying Horse from [Broadmoor/Garden of Gods/etc.]?”</w:t>
      </w:r>
    </w:p>
    <w:p>
      <w:pPr>
        <w:pStyle w:val="ListParagraph"/>
        <w:numPr>
          <w:ilvl w:val="1"/>
          <w:numId w:val="1"/>
        </w:numPr>
        <w:spacing w:before="30" w:after="30" w:line="276"/>
        <w:ind w:left="1440" w:hanging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“If a competitor said ‘bespoke care’—would you believe it? Why or why not?”</w:t>
      </w:r>
    </w:p>
    <w:p>
      <w:pPr>
        <w:pStyle w:val="Heading3"/>
        <w:rPr>
          <w:b/>
          <w:bCs/>
        </w:rPr>
      </w:pPr>
      <w:r>
        <w:rPr>
          <w:rFonts w:ascii="Arial" w:cs="Arial" w:eastAsia="Arial" w:hAnsi="Arial"/>
          <w:b/>
          <w:bCs/>
          <w:i w:val="false"/>
          <w:iCs w:val="false"/>
          <w:strike w:val="false"/>
        </w:rPr>
        <w:t xml:space="preserve">B. Assumed Value of Flexibility/“We Flex”</w:t>
      </w:r>
    </w:p>
    <w:p>
      <w:pPr>
        <w:pStyle w:val="ListParagraph"/>
        <w:numPr>
          <w:ilvl w:val="0"/>
          <w:numId w:val="1"/>
        </w:numPr>
        <w:spacing w:before="30" w:after="30" w:line="276"/>
        <w:ind w:left="720" w:hanging="360"/>
      </w:pPr>
      <w:r>
        <w:rPr>
          <w:rFonts w:ascii="Arial" w:cs="Arial" w:eastAsia="Arial" w:hAnsi="Arial"/>
          <w:b/>
          <w:bCs/>
          <w:i w:val="false"/>
          <w:iCs w:val="false"/>
          <w:strike w:val="false"/>
        </w:rPr>
        <w:t xml:space="preserve">Why Risky: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If no clear, visible proof at the front end, buyers may assume policies are like the industry norm (often rigid on the back end).</w:t>
      </w:r>
    </w:p>
    <w:p>
      <w:pPr>
        <w:pStyle w:val="ListParagraph"/>
        <w:numPr>
          <w:ilvl w:val="0"/>
          <w:numId w:val="1"/>
        </w:numPr>
        <w:spacing w:before="30" w:after="30" w:line="276"/>
        <w:ind w:left="720" w:hanging="360"/>
      </w:pPr>
      <w:r>
        <w:rPr>
          <w:rFonts w:ascii="Arial" w:cs="Arial" w:eastAsia="Arial" w:hAnsi="Arial"/>
          <w:b/>
          <w:bCs/>
          <w:i w:val="false"/>
          <w:iCs w:val="false"/>
          <w:strike w:val="false"/>
        </w:rPr>
        <w:t xml:space="preserve">Guided Questions:</w:t>
      </w:r>
    </w:p>
    <w:p>
      <w:pPr>
        <w:pStyle w:val="ListParagraph"/>
        <w:numPr>
          <w:ilvl w:val="1"/>
          <w:numId w:val="1"/>
        </w:numPr>
        <w:spacing w:before="30" w:after="30" w:line="276"/>
        <w:ind w:left="1440" w:hanging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“How did you learn about our flexibility? Was it clear before you booked?”</w:t>
      </w:r>
    </w:p>
    <w:p>
      <w:pPr>
        <w:pStyle w:val="ListParagraph"/>
        <w:numPr>
          <w:ilvl w:val="1"/>
          <w:numId w:val="1"/>
        </w:numPr>
        <w:spacing w:before="30" w:after="30" w:line="276"/>
        <w:ind w:left="1440" w:hanging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“Have you ever experienced a policy at another venue that was more flexible? What did we do better or worse?”</w:t>
      </w:r>
    </w:p>
    <w:p>
      <w:pPr>
        <w:pStyle w:val="ListParagraph"/>
        <w:numPr>
          <w:ilvl w:val="1"/>
          <w:numId w:val="1"/>
        </w:numPr>
        <w:spacing w:before="30" w:after="30" w:line="276"/>
        <w:ind w:left="1440" w:hanging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“Would you pay more for guaranteed flexibility, or do you expect it at all luxury venues now?”</w:t>
      </w:r>
    </w:p>
    <w:p>
      <w:pPr>
        <w:pStyle w:val="Heading3"/>
        <w:rPr>
          <w:b/>
          <w:bCs/>
        </w:rPr>
      </w:pPr>
      <w:r>
        <w:rPr>
          <w:rFonts w:ascii="Arial" w:cs="Arial" w:eastAsia="Arial" w:hAnsi="Arial"/>
          <w:b/>
          <w:bCs/>
          <w:i w:val="false"/>
          <w:iCs w:val="false"/>
          <w:strike w:val="false"/>
        </w:rPr>
        <w:t xml:space="preserve">C. Neglected Attendee/“End-User” Perspective</w:t>
      </w:r>
    </w:p>
    <w:p>
      <w:pPr>
        <w:pStyle w:val="ListParagraph"/>
        <w:numPr>
          <w:ilvl w:val="0"/>
          <w:numId w:val="1"/>
        </w:numPr>
        <w:spacing w:before="30" w:after="30" w:line="276"/>
        <w:ind w:left="720" w:hanging="360"/>
      </w:pPr>
      <w:r>
        <w:rPr>
          <w:rFonts w:ascii="Arial" w:cs="Arial" w:eastAsia="Arial" w:hAnsi="Arial"/>
          <w:b/>
          <w:bCs/>
          <w:i w:val="false"/>
          <w:iCs w:val="false"/>
          <w:strike w:val="false"/>
        </w:rPr>
        <w:t xml:space="preserve">Why Risky: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Too much focus on planners/organizers could mean neglecting direct guest, attendee, or wedding participant feedback, risking missed experience gaps or advocacy loss.</w:t>
      </w:r>
    </w:p>
    <w:p>
      <w:pPr>
        <w:pStyle w:val="ListParagraph"/>
        <w:numPr>
          <w:ilvl w:val="0"/>
          <w:numId w:val="1"/>
        </w:numPr>
        <w:spacing w:before="30" w:after="30" w:line="276"/>
        <w:ind w:left="720" w:hanging="360"/>
      </w:pPr>
      <w:r>
        <w:rPr>
          <w:rFonts w:ascii="Arial" w:cs="Arial" w:eastAsia="Arial" w:hAnsi="Arial"/>
          <w:b/>
          <w:bCs/>
          <w:i w:val="false"/>
          <w:iCs w:val="false"/>
          <w:strike w:val="false"/>
        </w:rPr>
        <w:t xml:space="preserve">Guided Questions:</w:t>
      </w:r>
    </w:p>
    <w:p>
      <w:pPr>
        <w:pStyle w:val="ListParagraph"/>
        <w:numPr>
          <w:ilvl w:val="1"/>
          <w:numId w:val="1"/>
        </w:numPr>
        <w:spacing w:before="30" w:after="30" w:line="276"/>
        <w:ind w:left="1440" w:hanging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“If you weren’t organizing this, would you want to experience Flying Horse again?”</w:t>
      </w:r>
    </w:p>
    <w:p>
      <w:pPr>
        <w:pStyle w:val="ListParagraph"/>
        <w:numPr>
          <w:ilvl w:val="1"/>
          <w:numId w:val="1"/>
        </w:numPr>
        <w:spacing w:before="30" w:after="30" w:line="276"/>
        <w:ind w:left="1440" w:hanging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“What’s the single moment attendees mention to you post-event?”</w:t>
      </w:r>
    </w:p>
    <w:p>
      <w:pPr>
        <w:pStyle w:val="ListParagraph"/>
        <w:numPr>
          <w:ilvl w:val="1"/>
          <w:numId w:val="1"/>
        </w:numPr>
        <w:spacing w:before="30" w:after="30" w:line="276"/>
        <w:ind w:left="1440" w:hanging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“If you could change one thing about how guests were treated, what would it be?”</w:t>
      </w:r>
    </w:p>
    <w:p>
      <w:pPr>
        <w:pStyle w:val="Heading3"/>
        <w:rPr>
          <w:b/>
          <w:bCs/>
        </w:rPr>
      </w:pPr>
      <w:r>
        <w:rPr>
          <w:rFonts w:ascii="Arial" w:cs="Arial" w:eastAsia="Arial" w:hAnsi="Arial"/>
          <w:b/>
          <w:bCs/>
          <w:i w:val="false"/>
          <w:iCs w:val="false"/>
          <w:strike w:val="false"/>
        </w:rPr>
        <w:t xml:space="preserve">D. Loyalty/Long-Term Relationship Blind Spot</w:t>
      </w:r>
    </w:p>
    <w:p>
      <w:pPr>
        <w:pStyle w:val="ListParagraph"/>
        <w:numPr>
          <w:ilvl w:val="0"/>
          <w:numId w:val="1"/>
        </w:numPr>
        <w:spacing w:before="30" w:after="30" w:line="276"/>
        <w:ind w:left="720" w:hanging="360"/>
      </w:pPr>
      <w:r>
        <w:rPr>
          <w:rFonts w:ascii="Arial" w:cs="Arial" w:eastAsia="Arial" w:hAnsi="Arial"/>
          <w:b/>
          <w:bCs/>
          <w:i w:val="false"/>
          <w:iCs w:val="false"/>
          <w:strike w:val="false"/>
        </w:rPr>
        <w:t xml:space="preserve">Why Risky: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Post-stay/event touchpoints may not be as memorable or systematic as initial journey phases, risking silent churn or low referral rates.</w:t>
      </w:r>
    </w:p>
    <w:p>
      <w:pPr>
        <w:pStyle w:val="ListParagraph"/>
        <w:numPr>
          <w:ilvl w:val="0"/>
          <w:numId w:val="1"/>
        </w:numPr>
        <w:spacing w:before="30" w:after="30" w:line="276"/>
        <w:ind w:left="720" w:hanging="360"/>
      </w:pPr>
      <w:r>
        <w:rPr>
          <w:rFonts w:ascii="Arial" w:cs="Arial" w:eastAsia="Arial" w:hAnsi="Arial"/>
          <w:b/>
          <w:bCs/>
          <w:i w:val="false"/>
          <w:iCs w:val="false"/>
          <w:strike w:val="false"/>
        </w:rPr>
        <w:t xml:space="preserve">Guided Questions:</w:t>
      </w:r>
    </w:p>
    <w:p>
      <w:pPr>
        <w:pStyle w:val="ListParagraph"/>
        <w:numPr>
          <w:ilvl w:val="1"/>
          <w:numId w:val="1"/>
        </w:numPr>
        <w:spacing w:before="30" w:after="30" w:line="276"/>
        <w:ind w:left="1440" w:hanging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“After your event or stay, how did Flying Horse follow up with you?”</w:t>
      </w:r>
    </w:p>
    <w:p>
      <w:pPr>
        <w:pStyle w:val="ListParagraph"/>
        <w:numPr>
          <w:ilvl w:val="1"/>
          <w:numId w:val="1"/>
        </w:numPr>
        <w:spacing w:before="30" w:after="30" w:line="276"/>
        <w:ind w:left="1440" w:hanging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“Would you recommend us to a friend? (Why or why not?)”</w:t>
      </w:r>
    </w:p>
    <w:p>
      <w:pPr>
        <w:pStyle w:val="ListParagraph"/>
        <w:numPr>
          <w:ilvl w:val="1"/>
          <w:numId w:val="1"/>
        </w:numPr>
        <w:spacing w:before="30" w:after="30" w:line="276"/>
        <w:ind w:left="1440" w:hanging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“What would make you host/visit here again without a second thought?”</w:t>
      </w:r>
    </w:p>
    <w:p>
      <w:pPr>
        <w:pStyle w:val="Heading2"/>
        <w:rPr>
          <w:b/>
          <w:bCs/>
        </w:rPr>
      </w:pPr>
      <w:r>
        <w:rPr>
          <w:rFonts w:ascii="Arial" w:cs="Arial" w:eastAsia="Arial" w:hAnsi="Arial"/>
          <w:b/>
          <w:bCs/>
          <w:i w:val="false"/>
          <w:iCs w:val="false"/>
          <w:strike w:val="false"/>
        </w:rPr>
        <w:t xml:space="preserve">3. How to Address/Eliminate These Blind Spots</w:t>
      </w:r>
    </w:p>
    <w:p>
      <w:pPr>
        <w:pStyle w:val="Heading3"/>
        <w:rPr>
          <w:b/>
          <w:bCs/>
        </w:rPr>
      </w:pPr>
      <w:r>
        <w:rPr>
          <w:rFonts w:ascii="Arial" w:cs="Arial" w:eastAsia="Arial" w:hAnsi="Arial"/>
          <w:b/>
          <w:bCs/>
          <w:i w:val="false"/>
          <w:iCs w:val="false"/>
          <w:strike w:val="false"/>
        </w:rPr>
        <w:t xml:space="preserve">1. Validate with Direct Feedback</w:t>
      </w:r>
    </w:p>
    <w:p>
      <w:pPr>
        <w:pStyle w:val="ListParagraph"/>
        <w:numPr>
          <w:ilvl w:val="0"/>
          <w:numId w:val="1"/>
        </w:numPr>
        <w:spacing w:before="30" w:after="30" w:line="276"/>
        <w:ind w:left="720" w:hanging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Conduct 1:1 interviews with recent buyers/lost opportunities using guided questions above.</w:t>
      </w:r>
    </w:p>
    <w:p>
      <w:pPr>
        <w:pStyle w:val="ListParagraph"/>
        <w:numPr>
          <w:ilvl w:val="0"/>
          <w:numId w:val="1"/>
        </w:numPr>
        <w:spacing w:before="30" w:after="30" w:line="276"/>
        <w:ind w:left="720" w:hanging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Survey ended-events/guests (not just planners) for what was truly memorable—or not.</w:t>
      </w:r>
    </w:p>
    <w:p>
      <w:pPr>
        <w:pStyle w:val="ListParagraph"/>
        <w:numPr>
          <w:ilvl w:val="0"/>
          <w:numId w:val="1"/>
        </w:numPr>
        <w:spacing w:before="30" w:after="30" w:line="276"/>
        <w:ind w:left="720" w:hanging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Mystery-shop competitors for their approach to care, flexibility, “belonging.”</w:t>
      </w:r>
    </w:p>
    <w:p>
      <w:pPr>
        <w:pStyle w:val="Heading3"/>
        <w:rPr>
          <w:b/>
          <w:bCs/>
        </w:rPr>
      </w:pPr>
      <w:r>
        <w:rPr>
          <w:rFonts w:ascii="Arial" w:cs="Arial" w:eastAsia="Arial" w:hAnsi="Arial"/>
          <w:b/>
          <w:bCs/>
          <w:i w:val="false"/>
          <w:iCs w:val="false"/>
          <w:strike w:val="false"/>
        </w:rPr>
        <w:t xml:space="preserve">2. Make Invisible Differentiators Visible</w:t>
      </w:r>
    </w:p>
    <w:p>
      <w:pPr>
        <w:pStyle w:val="ListParagraph"/>
        <w:numPr>
          <w:ilvl w:val="0"/>
          <w:numId w:val="1"/>
        </w:numPr>
        <w:spacing w:before="30" w:after="30" w:line="276"/>
        <w:ind w:left="720" w:hanging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Map EVERY “flex” story or unique moment to website, sales, and in-person tours (e.g., “Ask me to tell you about the family who postponed twice!”).</w:t>
      </w:r>
    </w:p>
    <w:p>
      <w:pPr>
        <w:pStyle w:val="ListParagraph"/>
        <w:numPr>
          <w:ilvl w:val="0"/>
          <w:numId w:val="1"/>
        </w:numPr>
        <w:spacing w:before="30" w:after="30" w:line="276"/>
        <w:ind w:left="720" w:hanging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Explicitly list policies/processes that set you apart in pre-event materials (not buried in contracts).</w:t>
      </w:r>
    </w:p>
    <w:p>
      <w:pPr>
        <w:pStyle w:val="Heading3"/>
        <w:rPr>
          <w:b/>
          <w:bCs/>
        </w:rPr>
      </w:pPr>
      <w:r>
        <w:rPr>
          <w:rFonts w:ascii="Arial" w:cs="Arial" w:eastAsia="Arial" w:hAnsi="Arial"/>
          <w:b/>
          <w:bCs/>
          <w:i w:val="false"/>
          <w:iCs w:val="false"/>
          <w:strike w:val="false"/>
        </w:rPr>
        <w:t xml:space="preserve">3. Institutionalize New Feedback Loops</w:t>
      </w:r>
    </w:p>
    <w:p>
      <w:pPr>
        <w:pStyle w:val="ListParagraph"/>
        <w:numPr>
          <w:ilvl w:val="0"/>
          <w:numId w:val="1"/>
        </w:numPr>
        <w:spacing w:before="30" w:after="30" w:line="276"/>
        <w:ind w:left="720" w:hanging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Automate attendee follow-up (not just buyer/planner). Use text/email survey with single Net Promoter-style question plus open comment.</w:t>
      </w:r>
    </w:p>
    <w:p>
      <w:pPr>
        <w:pStyle w:val="ListParagraph"/>
        <w:numPr>
          <w:ilvl w:val="0"/>
          <w:numId w:val="1"/>
        </w:numPr>
        <w:spacing w:before="30" w:after="30" w:line="276"/>
        <w:ind w:left="720" w:hanging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Establish a quarterly “blind spot review” with guest services, sales, and marketing: What’s getting missed or mentioned in post-stay/event feedback?</w:t>
      </w:r>
    </w:p>
    <w:p>
      <w:pPr>
        <w:pStyle w:val="Heading3"/>
        <w:rPr>
          <w:b/>
          <w:bCs/>
        </w:rPr>
      </w:pPr>
      <w:r>
        <w:rPr>
          <w:rFonts w:ascii="Arial" w:cs="Arial" w:eastAsia="Arial" w:hAnsi="Arial"/>
          <w:b/>
          <w:bCs/>
          <w:i w:val="false"/>
          <w:iCs w:val="false"/>
          <w:strike w:val="false"/>
        </w:rPr>
        <w:t xml:space="preserve">4. Test and Iterate Messaging</w:t>
      </w:r>
    </w:p>
    <w:p>
      <w:pPr>
        <w:pStyle w:val="ListParagraph"/>
        <w:numPr>
          <w:ilvl w:val="0"/>
          <w:numId w:val="1"/>
        </w:numPr>
        <w:spacing w:before="30" w:after="30" w:line="276"/>
        <w:ind w:left="720" w:hanging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A/B test key value phrases: “belonging” vs. “discovery,” “white-glove support” vs. “flexible hosting.”</w:t>
      </w:r>
    </w:p>
    <w:p>
      <w:pPr>
        <w:pStyle w:val="ListParagraph"/>
        <w:numPr>
          <w:ilvl w:val="0"/>
          <w:numId w:val="1"/>
        </w:numPr>
        <w:spacing w:before="30" w:after="30" w:line="276"/>
        <w:ind w:left="720" w:hanging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Adapt communications based on feedback from edge cases and “silent churners,” not just superfans.</w:t>
      </w:r>
    </w:p>
    <w:p>
      <w:pPr>
        <w:pStyle w:val="Heading3"/>
        <w:rPr>
          <w:b/>
          <w:bCs/>
        </w:rPr>
      </w:pPr>
      <w:r>
        <w:rPr>
          <w:rFonts w:ascii="Arial" w:cs="Arial" w:eastAsia="Arial" w:hAnsi="Arial"/>
          <w:b/>
          <w:bCs/>
          <w:i w:val="false"/>
          <w:iCs w:val="false"/>
          <w:strike w:val="false"/>
        </w:rPr>
        <w:t xml:space="preserve">5. Build Staff Training on Story Gathering &amp; Delivery</w:t>
      </w:r>
    </w:p>
    <w:p>
      <w:pPr>
        <w:pStyle w:val="ListParagraph"/>
        <w:numPr>
          <w:ilvl w:val="0"/>
          <w:numId w:val="1"/>
        </w:numPr>
        <w:spacing w:before="30" w:after="30" w:line="276"/>
        <w:ind w:left="720" w:hanging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Make every team member a “memory-catcher”—collect guest stories in CRM to use as proof points for next guests.</w:t>
      </w:r>
    </w:p>
    <w:p>
      <w:pPr>
        <w:pStyle w:val="ListParagraph"/>
        <w:numPr>
          <w:ilvl w:val="0"/>
          <w:numId w:val="1"/>
        </w:numPr>
        <w:spacing w:before="30" w:after="30" w:line="276"/>
        <w:ind w:left="720" w:hanging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Recognize staff who turn a recovery moment or unexpected pivot into a viral-worthy story.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before="30" w:after="30"/>
      </w:pPr>
      <w:rPr>
        <w:rFonts w:ascii="Arial" w:cs="Arial" w:eastAsia="Arial" w:hAnsi="Arial"/>
      </w:rPr>
    </w:lvl>
    <w:lvl w:ilvl="1" w15:tentative="1">
      <w:start w:val="1"/>
      <w:numFmt w:val="lowerLetter"/>
      <w:lvlText w:val="%2."/>
      <w:lvlJc w:val="left"/>
      <w:pPr>
        <w:spacing w:before="30" w:after="30"/>
      </w:pPr>
      <w:rPr>
        <w:rFonts w:ascii="Arial" w:cs="Arial" w:eastAsia="Arial" w:hAnsi="Arial"/>
      </w:rPr>
    </w:lvl>
    <w:lvl w:ilvl="2" w15:tentative="1">
      <w:start w:val="1"/>
      <w:numFmt w:val="lowerRoman"/>
      <w:lvlText w:val="%3."/>
      <w:lvlJc w:val="left"/>
      <w:pPr>
        <w:spacing w:before="30" w:after="30"/>
      </w:pPr>
      <w:rPr>
        <w:rFonts w:ascii="Arial" w:cs="Arial" w:eastAsia="Arial" w:hAnsi="Arial"/>
      </w:rPr>
    </w:lvl>
    <w:lvl w:ilvl="3" w15:tentative="1">
      <w:start w:val="1"/>
      <w:numFmt w:val="decimal"/>
      <w:lvlText w:val="%4."/>
      <w:lvlJc w:val="left"/>
      <w:pPr>
        <w:spacing w:before="30" w:after="30"/>
      </w:pPr>
      <w:rPr>
        <w:rFonts w:ascii="Arial" w:cs="Arial" w:eastAsia="Arial" w:hAnsi="Arial"/>
      </w:rPr>
    </w:lvl>
    <w:lvl w:ilvl="4" w15:tentative="1">
      <w:start w:val="1"/>
      <w:numFmt w:val="decimal"/>
      <w:lvlText w:val="%5."/>
      <w:lvlJc w:val="left"/>
      <w:pPr>
        <w:spacing w:before="30" w:after="30"/>
      </w:pPr>
      <w:rPr>
        <w:rFonts w:ascii="Arial" w:cs="Arial" w:eastAsia="Arial" w:hAnsi="Arial"/>
      </w:rPr>
    </w:lvl>
    <w:lvl w:ilvl="5" w15:tentative="1">
      <w:start w:val="1"/>
      <w:numFmt w:val="decimal"/>
      <w:lvlText w:val="%6."/>
      <w:lvlJc w:val="left"/>
      <w:pPr>
        <w:spacing w:before="30" w:after="30"/>
      </w:pPr>
      <w:rPr>
        <w:rFonts w:ascii="Arial" w:cs="Arial" w:eastAsia="Arial" w:hAnsi="Arial"/>
      </w:rPr>
    </w:lvl>
    <w:lvl w:ilvl="6" w15:tentative="1">
      <w:start w:val="1"/>
      <w:numFmt w:val="lowerLetter"/>
      <w:lvlText w:val="%7."/>
      <w:lvlJc w:val="left"/>
      <w:pPr>
        <w:spacing w:before="30" w:after="30"/>
      </w:pPr>
      <w:rPr>
        <w:rFonts w:ascii="Arial" w:cs="Arial" w:eastAsia="Arial" w:hAnsi="Arial"/>
      </w:rPr>
    </w:lvl>
    <w:lvl w:ilvl="7" w15:tentative="1">
      <w:start w:val="1"/>
      <w:numFmt w:val="lowerRoman"/>
      <w:lvlText w:val="%8."/>
      <w:lvlJc w:val="left"/>
      <w:pPr>
        <w:spacing w:before="30" w:after="30"/>
      </w:pPr>
      <w:rPr>
        <w:rFonts w:ascii="Arial" w:cs="Arial" w:eastAsia="Arial" w:hAnsi="Arial"/>
      </w:rPr>
    </w:lvl>
    <w:lvl w:ilvl="8" w15:tentative="1">
      <w:start w:val="1"/>
      <w:numFmt w:val="decimal"/>
      <w:lvlText w:val="%9."/>
      <w:lvlJc w:val="left"/>
      <w:pPr>
        <w:spacing w:before="30" w:after="3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225" w:after="225" w:line="450"/>
    </w:pPr>
    <w:rPr>
      <w:b/>
      <w:bCs/>
      <w:sz w:val="45"/>
      <w:szCs w:val="45"/>
    </w:rPr>
  </w:style>
  <w:style w:type="paragraph" w:styleId="Heading2">
    <w:name w:val="Heading 2"/>
    <w:basedOn w:val="Normal"/>
    <w:next w:val="Normal"/>
    <w:qFormat/>
    <w:pPr>
      <w:spacing w:before="180" w:after="180" w:line="360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qFormat/>
    <w:pPr>
      <w:spacing w:before="150" w:after="150" w:line="450"/>
    </w:pPr>
    <w:rPr>
      <w:b/>
      <w:bCs/>
      <w:sz w:val="30"/>
      <w:szCs w:val="30"/>
    </w:rPr>
  </w:style>
  <w:style w:type="paragraph" w:styleId="Heading4">
    <w:name w:val="Heading 4"/>
    <w:basedOn w:val="Normal"/>
    <w:next w:val="Normal"/>
    <w:qFormat/>
    <w:pPr>
      <w:spacing w:before="140" w:after="140" w:line="420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pPr>
      <w:spacing w:before="120" w:after="120" w:line="360"/>
    </w:pPr>
    <w:rPr>
      <w:b/>
      <w:bCs/>
      <w:sz w:val="24"/>
      <w:szCs w:val="24"/>
    </w:rPr>
  </w:style>
  <w:style w:type="paragraph" w:styleId="Heading6">
    <w:name w:val="Heading 6"/>
    <w:basedOn w:val="Normal"/>
    <w:next w:val="Normal"/>
    <w:qFormat/>
    <w:pPr>
      <w:spacing w:before="100" w:after="100" w:line="300"/>
    </w:pPr>
    <w:rPr>
      <w:b/>
      <w:bCs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before="120" w:after="120" w:line="360"/>
    </w:pPr>
    <w:rPr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2025-07-08T22:18:27.377Z</dcterms:created>
  <dcterms:modified xsi:type="dcterms:W3CDTF">2025-07-08T22:18:27.377Z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