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val="false"/>
          <w:bCs w:val="false"/>
          <w:i w:val="false"/>
          <w:iCs w:val="false"/>
          <w:strike w:val="false"/>
          <w:rFonts w:ascii="Arial" w:cs="Arial" w:eastAsia="Arial" w:hAnsi="Arial"/>
        </w:rPr>
        <w:t xml:space="preserve">Absolutely—I’ll revise the </w:t>
      </w:r>
      <w:r>
        <w:rPr>
          <w:b/>
          <w:bCs/>
          <w:i w:val="false"/>
          <w:iCs w:val="false"/>
          <w:strike w:val="false"/>
          <w:rFonts w:ascii="Arial" w:cs="Arial" w:eastAsia="Arial" w:hAnsi="Arial"/>
        </w:rPr>
        <w:t xml:space="preserve">Beta Tester Presentation</w:t>
      </w:r>
      <w:r>
        <w:rPr>
          <w:b w:val="false"/>
          <w:bCs w:val="false"/>
          <w:i w:val="false"/>
          <w:iCs w:val="false"/>
          <w:strike w:val="false"/>
          <w:rFonts w:ascii="Arial" w:cs="Arial" w:eastAsia="Arial" w:hAnsi="Arial"/>
        </w:rPr>
        <w:t xml:space="preserve"> to maximize the impact of your manifesto, the “them/us” framing, and the bridge between marketing, sales, finance, strategy, and execution. Each slide will combine business clarity with storytelling, emotion, and the “be part of the movement” tone you want to channel.</w:t>
      </w:r>
    </w:p>
    <w:p>
      <w:pPr>
        <w:pStyle w:val="Heading1"/>
        <w:rPr>
          <w:b/>
          <w:bCs/>
        </w:rPr>
      </w:pPr>
      <w:r>
        <w:rPr>
          <w:b w:val="false"/>
          <w:bCs w:val="false"/>
          <w:i w:val="false"/>
          <w:iCs w:val="false"/>
          <w:strike w:val="false"/>
          <w:rFonts w:ascii="Arial" w:cs="Arial" w:eastAsia="Arial" w:hAnsi="Arial"/>
        </w:rPr>
        <w:t xml:space="preserve">Ignite Beta Tester Deck: Manifesto-Driven, Bridge-Centered Story</w:t>
      </w:r>
    </w:p>
    <w:p>
      <w:pPr>
        <w:pStyle w:val="Heading3"/>
        <w:rPr>
          <w:b/>
          <w:bCs/>
        </w:rPr>
      </w:pPr>
      <w:r>
        <w:rPr>
          <w:b w:val="false"/>
          <w:bCs w:val="false"/>
          <w:i w:val="false"/>
          <w:iCs w:val="false"/>
          <w:strike w:val="false"/>
          <w:rFonts w:ascii="Arial" w:cs="Arial" w:eastAsia="Arial" w:hAnsi="Arial"/>
        </w:rPr>
        <w:t xml:space="preserve">1. </w:t>
      </w:r>
      <w:r>
        <w:rPr>
          <w:b/>
          <w:bCs/>
          <w:i w:val="false"/>
          <w:iCs w:val="false"/>
          <w:strike w:val="false"/>
          <w:rFonts w:ascii="Arial" w:cs="Arial" w:eastAsia="Arial" w:hAnsi="Arial"/>
        </w:rPr>
        <w:t xml:space="preserve">Cover Slide</w:t>
      </w:r>
    </w:p>
    <w:p>
      <w:r>
        <w:rPr>
          <w:b/>
          <w:bCs/>
          <w:i w:val="false"/>
          <w:iCs w:val="false"/>
          <w:strike w:val="false"/>
          <w:rFonts w:ascii="Arial" w:cs="Arial" w:eastAsia="Arial" w:hAnsi="Arial"/>
        </w:rPr>
        <w:t xml:space="preserve">IGNITE: Shape the Clarity Movement</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Do Less. Make It Mean More.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Become a Founding Beta Partner—Help Bridge the Gaps That Matter Most.</w:t>
      </w:r>
    </w:p>
    <w:p>
      <w:pPr>
        <w:pStyle w:val="Heading3"/>
        <w:rPr>
          <w:b/>
          <w:bCs/>
        </w:rPr>
      </w:pPr>
      <w:r>
        <w:rPr>
          <w:b w:val="false"/>
          <w:bCs w:val="false"/>
          <w:i w:val="false"/>
          <w:iCs w:val="false"/>
          <w:strike w:val="false"/>
          <w:rFonts w:ascii="Arial" w:cs="Arial" w:eastAsia="Arial" w:hAnsi="Arial"/>
        </w:rPr>
        <w:t xml:space="preserve">2. </w:t>
      </w:r>
      <w:r>
        <w:rPr>
          <w:b/>
          <w:bCs/>
          <w:i w:val="false"/>
          <w:iCs w:val="false"/>
          <w:strike w:val="false"/>
          <w:rFonts w:ascii="Arial" w:cs="Arial" w:eastAsia="Arial" w:hAnsi="Arial"/>
        </w:rPr>
        <w:t xml:space="preserve">What is Ignite?</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Built to Bridge, Designed for Growth</w:t>
      </w:r>
    </w:p>
    <w:p>
      <w:r>
        <w:rPr>
          <w:b/>
          <w:bCs/>
          <w:i w:val="false"/>
          <w:iCs w:val="false"/>
          <w:strike w:val="false"/>
          <w:rFonts w:ascii="Arial" w:cs="Arial" w:eastAsia="Arial" w:hAnsi="Arial"/>
        </w:rPr>
        <w:t xml:space="preserve">Slide Summary:</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Ignite is a next-generation execution alignment platform. We overlay your existing stack, uniting marketing, sales, and finance to transform random wins into repeatable progress—for the business, and for your customers.</w:t>
      </w:r>
    </w:p>
    <w:p>
      <w:r>
        <w:rPr>
          <w:b/>
          <w:bCs/>
          <w:i w:val="false"/>
          <w:iCs w:val="false"/>
          <w:strike w:val="false"/>
          <w:rFonts w:ascii="Arial" w:cs="Arial" w:eastAsia="Arial" w:hAnsi="Arial"/>
        </w:rPr>
        <w:t xml:space="preserve">Bullets: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Overlay</w:t>
      </w:r>
      <w:r>
        <w:rPr>
          <w:b w:val="false"/>
          <w:bCs w:val="false"/>
          <w:i w:val="false"/>
          <w:iCs w:val="false"/>
          <w:strike w:val="false"/>
          <w:rFonts w:ascii="Arial" w:cs="Arial" w:eastAsia="Arial" w:hAnsi="Arial"/>
        </w:rPr>
        <w:t xml:space="preserve">: Integrate fast, build on your current success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Bridge</w:t>
      </w:r>
      <w:r>
        <w:rPr>
          <w:b w:val="false"/>
          <w:bCs w:val="false"/>
          <w:i w:val="false"/>
          <w:iCs w:val="false"/>
          <w:strike w:val="false"/>
          <w:rFonts w:ascii="Arial" w:cs="Arial" w:eastAsia="Arial" w:hAnsi="Arial"/>
        </w:rPr>
        <w:t xml:space="preserve">: Align strategy, sales, marketing, and finance—finally</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Certainty</w:t>
      </w:r>
      <w:r>
        <w:rPr>
          <w:b w:val="false"/>
          <w:bCs w:val="false"/>
          <w:i w:val="false"/>
          <w:iCs w:val="false"/>
          <w:strike w:val="false"/>
          <w:rFonts w:ascii="Arial" w:cs="Arial" w:eastAsia="Arial" w:hAnsi="Arial"/>
        </w:rPr>
        <w:t xml:space="preserve">: Replace guesswork with clarity everyone can trust</w:t>
      </w:r>
    </w:p>
    <w:p>
      <w:pPr>
        <w:pStyle w:val="Heading3"/>
        <w:rPr>
          <w:b/>
          <w:bCs/>
        </w:rPr>
      </w:pPr>
      <w:r>
        <w:rPr>
          <w:b w:val="false"/>
          <w:bCs w:val="false"/>
          <w:i w:val="false"/>
          <w:iCs w:val="false"/>
          <w:strike w:val="false"/>
          <w:rFonts w:ascii="Arial" w:cs="Arial" w:eastAsia="Arial" w:hAnsi="Arial"/>
        </w:rPr>
        <w:t xml:space="preserve">3. </w:t>
      </w:r>
      <w:r>
        <w:rPr>
          <w:b/>
          <w:bCs/>
          <w:i w:val="false"/>
          <w:iCs w:val="false"/>
          <w:strike w:val="false"/>
          <w:rFonts w:ascii="Arial" w:cs="Arial" w:eastAsia="Arial" w:hAnsi="Arial"/>
        </w:rPr>
        <w:t xml:space="preserve">Why Ignite? — The Them/Us Story</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From Siloes, Doubt, and Luck… to Alignment, Confidence, and Momentum</w:t>
      </w:r>
    </w:p>
    <w:p>
      <w:r>
        <w:rPr>
          <w:b/>
          <w:bCs/>
          <w:i w:val="false"/>
          <w:iCs w:val="false"/>
          <w:strike w:val="false"/>
          <w:rFonts w:ascii="Arial" w:cs="Arial" w:eastAsia="Arial" w:hAnsi="Arial"/>
        </w:rPr>
        <w:t xml:space="preserve">Slide Summary:</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Your world is divided by silos, tool fatigue, and a question that never quits: </w:t>
      </w:r>
      <w:r>
        <w:rPr>
          <w:b w:val="false"/>
          <w:bCs w:val="false"/>
          <w:i/>
          <w:iCs/>
          <w:strike w:val="false"/>
          <w:rFonts w:ascii="Arial" w:cs="Arial" w:eastAsia="Arial" w:hAnsi="Arial"/>
        </w:rPr>
        <w:t xml:space="preserve">“Are we repeating wins, or just getting lucky?”</w:t>
      </w:r>
      <w:r>
        <w:rPr>
          <w:b w:val="false"/>
          <w:bCs w:val="false"/>
          <w:i w:val="false"/>
          <w:iCs w:val="false"/>
          <w:strike w:val="false"/>
          <w:rFonts w:ascii="Arial" w:cs="Arial" w:eastAsia="Arial" w:hAnsi="Arial"/>
        </w:rPr>
        <w:t xml:space="preserve"> Ignite exists for and with leaders like you—to serve as the bridge that finally makes inside alignment deliver real customer outcomes.</w:t>
      </w:r>
    </w:p>
    <w:p>
      <w:r>
        <w:rPr>
          <w:b/>
          <w:bCs/>
          <w:i w:val="false"/>
          <w:iCs w:val="false"/>
          <w:strike w:val="false"/>
          <w:rFonts w:ascii="Arial" w:cs="Arial" w:eastAsia="Arial" w:hAnsi="Arial"/>
        </w:rPr>
        <w:t xml:space="preserve">Bullets: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Them:</w:t>
      </w:r>
      <w:r>
        <w:rPr>
          <w:b w:val="false"/>
          <w:bCs w:val="false"/>
          <w:i w:val="false"/>
          <w:iCs w:val="false"/>
          <w:strike w:val="false"/>
          <w:rFonts w:ascii="Arial" w:cs="Arial" w:eastAsia="Arial" w:hAnsi="Arial"/>
        </w:rPr>
        <w:t xml:space="preserve"> Chaos, conflict, unpredictability (“Why does success feel like luck?”)</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Us:</w:t>
      </w:r>
      <w:r>
        <w:rPr>
          <w:b w:val="false"/>
          <w:bCs w:val="false"/>
          <w:i w:val="false"/>
          <w:iCs w:val="false"/>
          <w:strike w:val="false"/>
          <w:rFonts w:ascii="Arial" w:cs="Arial" w:eastAsia="Arial" w:hAnsi="Arial"/>
        </w:rPr>
        <w:t xml:space="preserve"> Connection, clarity, confidence (“Ignite makes it knowable—and repeatable”)</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Impact:</w:t>
      </w:r>
      <w:r>
        <w:rPr>
          <w:b w:val="false"/>
          <w:bCs w:val="false"/>
          <w:i w:val="false"/>
          <w:iCs w:val="false"/>
          <w:strike w:val="false"/>
          <w:rFonts w:ascii="Arial" w:cs="Arial" w:eastAsia="Arial" w:hAnsi="Arial"/>
        </w:rPr>
        <w:t xml:space="preserve"> Leaders deliver boardroom promises to customers, not just PowerPoints</w:t>
      </w:r>
    </w:p>
    <w:p>
      <w:pPr>
        <w:pStyle w:val="Heading3"/>
        <w:rPr>
          <w:b/>
          <w:bCs/>
        </w:rPr>
      </w:pPr>
      <w:r>
        <w:rPr>
          <w:b w:val="false"/>
          <w:bCs w:val="false"/>
          <w:i w:val="false"/>
          <w:iCs w:val="false"/>
          <w:strike w:val="false"/>
          <w:rFonts w:ascii="Arial" w:cs="Arial" w:eastAsia="Arial" w:hAnsi="Arial"/>
        </w:rPr>
        <w:t xml:space="preserve">4. </w:t>
      </w:r>
      <w:r>
        <w:rPr>
          <w:b/>
          <w:bCs/>
          <w:i w:val="false"/>
          <w:iCs w:val="false"/>
          <w:strike w:val="false"/>
          <w:rFonts w:ascii="Arial" w:cs="Arial" w:eastAsia="Arial" w:hAnsi="Arial"/>
        </w:rPr>
        <w:t xml:space="preserve">The Pain We're Solving</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Where Progress Gets Lost</w:t>
      </w:r>
    </w:p>
    <w:p>
      <w:r>
        <w:rPr>
          <w:b/>
          <w:bCs/>
          <w:i w:val="false"/>
          <w:iCs w:val="false"/>
          <w:strike w:val="false"/>
          <w:rFonts w:ascii="Arial" w:cs="Arial" w:eastAsia="Arial" w:hAnsi="Arial"/>
        </w:rPr>
        <w:t xml:space="preserve">Page Summary:</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When strategy gets stuck between departments, dashboards multiply, and customers notice the cracks. Ignite is here to help you do less, see more, and make wins last—inside and out.</w:t>
      </w:r>
    </w:p>
    <w:p>
      <w:r>
        <w:rPr>
          <w:b/>
          <w:bCs/>
          <w:i w:val="false"/>
          <w:iCs w:val="false"/>
          <w:strike w:val="false"/>
          <w:rFonts w:ascii="Arial" w:cs="Arial" w:eastAsia="Arial" w:hAnsi="Arial"/>
        </w:rPr>
        <w:t xml:space="preserve">Bullets: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Confusion</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Silos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Randomness</w:t>
      </w:r>
    </w:p>
    <w:p>
      <w:pPr>
        <w:pStyle w:val="Heading3"/>
        <w:rPr>
          <w:b/>
          <w:bCs/>
        </w:rPr>
      </w:pPr>
      <w:r>
        <w:rPr>
          <w:b w:val="false"/>
          <w:bCs w:val="false"/>
          <w:i w:val="false"/>
          <w:iCs w:val="false"/>
          <w:strike w:val="false"/>
          <w:rFonts w:ascii="Arial" w:cs="Arial" w:eastAsia="Arial" w:hAnsi="Arial"/>
        </w:rPr>
        <w:t xml:space="preserve">5. </w:t>
      </w:r>
      <w:r>
        <w:rPr>
          <w:b/>
          <w:bCs/>
          <w:i w:val="false"/>
          <w:iCs w:val="false"/>
          <w:strike w:val="false"/>
          <w:rFonts w:ascii="Arial" w:cs="Arial" w:eastAsia="Arial" w:hAnsi="Arial"/>
        </w:rPr>
        <w:t xml:space="preserve">The Ignite Solution</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A Bridge—Not More Overhead</w:t>
      </w:r>
    </w:p>
    <w:p>
      <w:r>
        <w:rPr>
          <w:b/>
          <w:bCs/>
          <w:i w:val="false"/>
          <w:iCs w:val="false"/>
          <w:strike w:val="false"/>
          <w:rFonts w:ascii="Arial" w:cs="Arial" w:eastAsia="Arial" w:hAnsi="Arial"/>
        </w:rPr>
        <w:t xml:space="preserve">Page Summary:</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We overlay—not replace—your current stack, bringing every team, from marketing to finance, onto a living platform. No more tool chaos, no more luck. Just clear, focused collaboration that reliably transforms strategy into execution.</w:t>
      </w:r>
    </w:p>
    <w:p>
      <w:r>
        <w:rPr>
          <w:b/>
          <w:bCs/>
          <w:i w:val="false"/>
          <w:iCs w:val="false"/>
          <w:strike w:val="false"/>
          <w:rFonts w:ascii="Arial" w:cs="Arial" w:eastAsia="Arial" w:hAnsi="Arial"/>
        </w:rPr>
        <w:t xml:space="preserve">Bullets: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Unity</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Clarity</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Simplicity</w:t>
      </w:r>
    </w:p>
    <w:p>
      <w:pPr>
        <w:pStyle w:val="Heading3"/>
        <w:rPr>
          <w:b/>
          <w:bCs/>
        </w:rPr>
      </w:pPr>
      <w:r>
        <w:rPr>
          <w:b w:val="false"/>
          <w:bCs w:val="false"/>
          <w:i w:val="false"/>
          <w:iCs w:val="false"/>
          <w:strike w:val="false"/>
          <w:rFonts w:ascii="Arial" w:cs="Arial" w:eastAsia="Arial" w:hAnsi="Arial"/>
        </w:rPr>
        <w:t xml:space="preserve">6. </w:t>
      </w:r>
      <w:r>
        <w:rPr>
          <w:b/>
          <w:bCs/>
          <w:i w:val="false"/>
          <w:iCs w:val="false"/>
          <w:strike w:val="false"/>
          <w:rFonts w:ascii="Arial" w:cs="Arial" w:eastAsia="Arial" w:hAnsi="Arial"/>
        </w:rPr>
        <w:t xml:space="preserve">Demo: Ignite in Action</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Clarity That Everyone Feels</w:t>
      </w:r>
    </w:p>
    <w:p>
      <w:r>
        <w:rPr>
          <w:b/>
          <w:bCs/>
          <w:i w:val="false"/>
          <w:iCs w:val="false"/>
          <w:strike w:val="false"/>
          <w:rFonts w:ascii="Arial" w:cs="Arial" w:eastAsia="Arial" w:hAnsi="Arial"/>
        </w:rPr>
        <w:t xml:space="preserve">Page Summary:</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See what happens when Ignite bridges the gaps—KPI dashboards merge, AI flags what works across teams, and everyone moves from confusion to certainty. Watch your strategy turn into real-world, customer-facing execution.</w:t>
      </w:r>
    </w:p>
    <w:p>
      <w:r>
        <w:rPr>
          <w:b/>
          <w:bCs/>
          <w:i w:val="false"/>
          <w:iCs w:val="false"/>
          <w:strike w:val="false"/>
          <w:rFonts w:ascii="Arial" w:cs="Arial" w:eastAsia="Arial" w:hAnsi="Arial"/>
        </w:rPr>
        <w:t xml:space="preserve">Bullets: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Unified Metrics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Real-Time Guidance</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Action-to-Outcome Transparency</w:t>
      </w:r>
    </w:p>
    <w:p>
      <w:pPr>
        <w:pStyle w:val="Heading3"/>
        <w:rPr>
          <w:b/>
          <w:bCs/>
        </w:rPr>
      </w:pPr>
      <w:r>
        <w:rPr>
          <w:b w:val="false"/>
          <w:bCs w:val="false"/>
          <w:i w:val="false"/>
          <w:iCs w:val="false"/>
          <w:strike w:val="false"/>
          <w:rFonts w:ascii="Arial" w:cs="Arial" w:eastAsia="Arial" w:hAnsi="Arial"/>
        </w:rPr>
        <w:t xml:space="preserve">7. </w:t>
      </w:r>
      <w:r>
        <w:rPr>
          <w:b/>
          <w:bCs/>
          <w:i w:val="false"/>
          <w:iCs w:val="false"/>
          <w:strike w:val="false"/>
          <w:rFonts w:ascii="Arial" w:cs="Arial" w:eastAsia="Arial" w:hAnsi="Arial"/>
        </w:rPr>
        <w:t xml:space="preserve">Beta Experience — What You Get</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Real Partnership, Real Influence</w:t>
      </w:r>
    </w:p>
    <w:p>
      <w:r>
        <w:rPr>
          <w:b/>
          <w:bCs/>
          <w:i w:val="false"/>
          <w:iCs w:val="false"/>
          <w:strike w:val="false"/>
          <w:rFonts w:ascii="Arial" w:cs="Arial" w:eastAsia="Arial" w:hAnsi="Arial"/>
        </w:rPr>
        <w:t xml:space="preserve">Page Summary:</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Founding Beta Partners shape Ignite, get exclusive access, and amplify their leadership by moving from isolated wins to sustained, shared growth. This isn’t a passive pilot—it’s co-creation with the people who share your pain.</w:t>
      </w:r>
    </w:p>
    <w:p>
      <w:r>
        <w:rPr>
          <w:b/>
          <w:bCs/>
          <w:i w:val="false"/>
          <w:iCs w:val="false"/>
          <w:strike w:val="false"/>
          <w:rFonts w:ascii="Arial" w:cs="Arial" w:eastAsia="Arial" w:hAnsi="Arial"/>
        </w:rPr>
        <w:t xml:space="preserve">Bullets: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Access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Support</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Influence</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Recognition</w:t>
      </w:r>
    </w:p>
    <w:p>
      <w:pPr>
        <w:pStyle w:val="Heading3"/>
        <w:rPr>
          <w:b/>
          <w:bCs/>
        </w:rPr>
      </w:pPr>
      <w:r>
        <w:rPr>
          <w:b w:val="false"/>
          <w:bCs w:val="false"/>
          <w:i w:val="false"/>
          <w:iCs w:val="false"/>
          <w:strike w:val="false"/>
          <w:rFonts w:ascii="Arial" w:cs="Arial" w:eastAsia="Arial" w:hAnsi="Arial"/>
        </w:rPr>
        <w:t xml:space="preserve">8. </w:t>
      </w:r>
      <w:r>
        <w:rPr>
          <w:b/>
          <w:bCs/>
          <w:i w:val="false"/>
          <w:iCs w:val="false"/>
          <w:strike w:val="false"/>
          <w:rFonts w:ascii="Arial" w:cs="Arial" w:eastAsia="Arial" w:hAnsi="Arial"/>
        </w:rPr>
        <w:t xml:space="preserve">What We Ask from You</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Help Build the Standard</w:t>
      </w:r>
    </w:p>
    <w:p>
      <w:r>
        <w:rPr>
          <w:b/>
          <w:bCs/>
          <w:i w:val="false"/>
          <w:iCs w:val="false"/>
          <w:strike w:val="false"/>
          <w:rFonts w:ascii="Arial" w:cs="Arial" w:eastAsia="Arial" w:hAnsi="Arial"/>
        </w:rPr>
        <w:t xml:space="preserve">Page Summary:</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We ask for $50,000 and your candid feedback in exchange for early access and the ability to directly shape the Ignite platform. True partnership means transparency, mutual investment, and a shared commitment to make clarity—and outcomes—mean more.</w:t>
      </w:r>
    </w:p>
    <w:p>
      <w:pPr>
        <w:pStyle w:val="Heading3"/>
        <w:rPr>
          <w:b/>
          <w:bCs/>
        </w:rPr>
      </w:pPr>
      <w:r>
        <w:rPr>
          <w:b w:val="false"/>
          <w:bCs w:val="false"/>
          <w:i w:val="false"/>
          <w:iCs w:val="false"/>
          <w:strike w:val="false"/>
          <w:rFonts w:ascii="Arial" w:cs="Arial" w:eastAsia="Arial" w:hAnsi="Arial"/>
        </w:rPr>
        <w:t xml:space="preserve">9. </w:t>
      </w:r>
      <w:r>
        <w:rPr>
          <w:b/>
          <w:bCs/>
          <w:i w:val="false"/>
          <w:iCs w:val="false"/>
          <w:strike w:val="false"/>
          <w:rFonts w:ascii="Arial" w:cs="Arial" w:eastAsia="Arial" w:hAnsi="Arial"/>
        </w:rPr>
        <w:t xml:space="preserve">Measurable Results</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From Inside Out—Proof that Endures</w:t>
      </w:r>
    </w:p>
    <w:p>
      <w:r>
        <w:rPr>
          <w:b/>
          <w:bCs/>
          <w:i w:val="false"/>
          <w:iCs w:val="false"/>
          <w:strike w:val="false"/>
          <w:rFonts w:ascii="Arial" w:cs="Arial" w:eastAsia="Arial" w:hAnsi="Arial"/>
        </w:rPr>
        <w:t xml:space="preserve">Page Summary:</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Ignite pilots cut reporting and alignment time, boost customer trust, and let teams know their work actually matters. With every quarter, clarity scales and results become not just internal, but palpable in your market.</w:t>
      </w:r>
    </w:p>
    <w:p>
      <w:r>
        <w:rPr>
          <w:b/>
          <w:bCs/>
          <w:i w:val="false"/>
          <w:iCs w:val="false"/>
          <w:strike w:val="false"/>
          <w:rFonts w:ascii="Arial" w:cs="Arial" w:eastAsia="Arial" w:hAnsi="Arial"/>
        </w:rPr>
        <w:t xml:space="preserve">Bullets: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Speed</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Alignment</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Impact</w:t>
      </w:r>
    </w:p>
    <w:p>
      <w:pPr>
        <w:pStyle w:val="Heading3"/>
        <w:rPr>
          <w:b/>
          <w:bCs/>
        </w:rPr>
      </w:pPr>
      <w:r>
        <w:rPr>
          <w:b w:val="false"/>
          <w:bCs w:val="false"/>
          <w:i w:val="false"/>
          <w:iCs w:val="false"/>
          <w:strike w:val="false"/>
          <w:rFonts w:ascii="Arial" w:cs="Arial" w:eastAsia="Arial" w:hAnsi="Arial"/>
        </w:rPr>
        <w:t xml:space="preserve">10. </w:t>
      </w:r>
      <w:r>
        <w:rPr>
          <w:b/>
          <w:bCs/>
          <w:i w:val="false"/>
          <w:iCs w:val="false"/>
          <w:strike w:val="false"/>
          <w:rFonts w:ascii="Arial" w:cs="Arial" w:eastAsia="Arial" w:hAnsi="Arial"/>
        </w:rPr>
        <w:t xml:space="preserve">Why Join Now?</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Be the Bridge—Not Just an Early Adopter</w:t>
      </w:r>
    </w:p>
    <w:p>
      <w:r>
        <w:rPr>
          <w:b/>
          <w:bCs/>
          <w:i w:val="false"/>
          <w:iCs w:val="false"/>
          <w:strike w:val="false"/>
          <w:rFonts w:ascii="Arial" w:cs="Arial" w:eastAsia="Arial" w:hAnsi="Arial"/>
        </w:rPr>
        <w:t xml:space="preserve">Page Summary:</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With only 10 founding beta slots, this is your chance to lead, to have your wins build the foundation for the industry’s new standard, and to show what’s possible when you ignite the right connections.</w:t>
      </w:r>
    </w:p>
    <w:p>
      <w:r>
        <w:rPr>
          <w:b/>
          <w:bCs/>
          <w:i w:val="false"/>
          <w:iCs w:val="false"/>
          <w:strike w:val="false"/>
          <w:rFonts w:ascii="Arial" w:cs="Arial" w:eastAsia="Arial" w:hAnsi="Arial"/>
        </w:rPr>
        <w:t xml:space="preserve">Bullets: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Influence</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Exclusivity</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Advantage</w:t>
      </w:r>
    </w:p>
    <w:p>
      <w:pPr>
        <w:pStyle w:val="Heading3"/>
        <w:rPr>
          <w:b/>
          <w:bCs/>
        </w:rPr>
      </w:pPr>
      <w:r>
        <w:rPr>
          <w:b w:val="false"/>
          <w:bCs w:val="false"/>
          <w:i w:val="false"/>
          <w:iCs w:val="false"/>
          <w:strike w:val="false"/>
          <w:rFonts w:ascii="Arial" w:cs="Arial" w:eastAsia="Arial" w:hAnsi="Arial"/>
        </w:rPr>
        <w:t xml:space="preserve">11. </w:t>
      </w:r>
      <w:r>
        <w:rPr>
          <w:b/>
          <w:bCs/>
          <w:i w:val="false"/>
          <w:iCs w:val="false"/>
          <w:strike w:val="false"/>
          <w:rFonts w:ascii="Arial" w:cs="Arial" w:eastAsia="Arial" w:hAnsi="Arial"/>
        </w:rPr>
        <w:t xml:space="preserve">Next Steps</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Shape the Movement—Secure Your Spot</w:t>
      </w:r>
    </w:p>
    <w:p>
      <w:r>
        <w:rPr>
          <w:b/>
          <w:bCs/>
          <w:i w:val="false"/>
          <w:iCs w:val="false"/>
          <w:strike w:val="false"/>
          <w:rFonts w:ascii="Arial" w:cs="Arial" w:eastAsia="Arial" w:hAnsi="Arial"/>
        </w:rPr>
        <w:t xml:space="preserve">Page Summary:</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Only 10 slots available—now is the time to bring your vision, your team, and your customer into the clarity movement. Let’s talk—so your voice helps define what clarity, alignment, and repeatable results really look like.</w:t>
      </w:r>
    </w:p>
    <w:p>
      <w:pPr>
        <w:pStyle w:val="Heading2"/>
        <w:rPr>
          <w:b/>
          <w:bCs/>
        </w:rPr>
      </w:pPr>
      <w:r>
        <w:rPr>
          <w:b/>
          <w:bCs/>
          <w:i w:val="false"/>
          <w:iCs w:val="false"/>
          <w:strike w:val="false"/>
          <w:rFonts w:ascii="Arial" w:cs="Arial" w:eastAsia="Arial" w:hAnsi="Arial"/>
        </w:rPr>
        <w:t xml:space="preserve">Script/Story Cues for Presenting</w:t>
      </w:r>
    </w:p>
    <w:p>
      <w:pPr>
        <w:pStyle w:val="ListParagraph"/>
        <w:numPr>
          <w:ilvl w:val="0"/>
          <w:numId w:val="1"/>
        </w:numPr>
        <w:spacing w:before="30" w:after="30" w:line="276"/>
        <w:ind w:left="720" w:hanging="360"/>
      </w:pPr>
      <w:r>
        <w:rPr>
          <w:b w:val="false"/>
          <w:bCs w:val="false"/>
          <w:i w:val="false"/>
          <w:iCs w:val="false"/>
          <w:strike w:val="false"/>
          <w:rFonts w:ascii="Arial" w:cs="Arial" w:eastAsia="Arial" w:hAnsi="Arial"/>
        </w:rPr>
        <w:t xml:space="preserve">Open with emotion: “We’ve all wondered if we’re really in control, or just lucky. Ignite is the answer to that doubt.”</w:t>
      </w:r>
    </w:p>
    <w:p>
      <w:pPr>
        <w:pStyle w:val="ListParagraph"/>
        <w:numPr>
          <w:ilvl w:val="0"/>
          <w:numId w:val="1"/>
        </w:numPr>
        <w:spacing w:before="30" w:after="30" w:line="276"/>
        <w:ind w:left="720" w:hanging="360"/>
      </w:pPr>
      <w:r>
        <w:rPr>
          <w:b w:val="false"/>
          <w:bCs w:val="false"/>
          <w:i w:val="false"/>
          <w:iCs w:val="false"/>
          <w:strike w:val="false"/>
          <w:rFonts w:ascii="Arial" w:cs="Arial" w:eastAsia="Arial" w:hAnsi="Arial"/>
        </w:rPr>
        <w:t xml:space="preserve">Reiterate throughout: “Everything Ignite solves internally, your customer feels on the outside. When you align strategy and execution—sales, marketing, finance moving as one—your outcomes move from random to reliable.”</w:t>
      </w:r>
    </w:p>
    <w:p>
      <w:pPr>
        <w:pStyle w:val="ListParagraph"/>
        <w:numPr>
          <w:ilvl w:val="0"/>
          <w:numId w:val="1"/>
        </w:numPr>
        <w:spacing w:before="30" w:after="30" w:line="276"/>
        <w:ind w:left="720" w:hanging="360"/>
      </w:pPr>
      <w:r>
        <w:rPr>
          <w:b w:val="false"/>
          <w:bCs w:val="false"/>
          <w:i w:val="false"/>
          <w:iCs w:val="false"/>
          <w:strike w:val="false"/>
          <w:rFonts w:ascii="Arial" w:cs="Arial" w:eastAsia="Arial" w:hAnsi="Arial"/>
        </w:rPr>
        <w:t xml:space="preserve">In the demo, narrate the excitement: “This isn’t just a dashboard—this is where your teams, your data, and your momentum connect. Every team, one purpose, one story. That’s the Ignite difference.”</w:t>
      </w:r>
    </w:p>
    <w:p>
      <w:pPr>
        <w:pStyle w:val="ListParagraph"/>
        <w:numPr>
          <w:ilvl w:val="0"/>
          <w:numId w:val="1"/>
        </w:numPr>
        <w:spacing w:before="30" w:after="30" w:line="276"/>
        <w:ind w:left="720" w:hanging="360"/>
      </w:pPr>
      <w:r>
        <w:rPr>
          <w:b w:val="false"/>
          <w:bCs w:val="false"/>
          <w:i w:val="false"/>
          <w:iCs w:val="false"/>
          <w:strike w:val="false"/>
          <w:rFonts w:ascii="Arial" w:cs="Arial" w:eastAsia="Arial" w:hAnsi="Arial"/>
        </w:rPr>
        <w:t xml:space="preserve">Before closing, encourage their pride: “Beta partners are the bridge—not just for their org, but for what clarity looks like for their industry as a whole.”</w:t>
      </w:r>
    </w:p>
    <w:p>
      <w:r>
        <w:rPr>
          <w:b w:val="false"/>
          <w:bCs w:val="false"/>
          <w:i w:val="false"/>
          <w:iCs w:val="false"/>
          <w:strike w:val="false"/>
          <w:rFonts w:ascii="Arial" w:cs="Arial" w:eastAsia="Arial" w:hAnsi="Arial"/>
        </w:rPr>
        <w:t xml:space="preserve">If you want a tailored version for a given vertical or a more narrative script for delivery, just let me know—you’ll be storytelling and pitching with maximum impact and true Ignite energy.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before="30" w:after="30"/>
      </w:pPr>
      <w:rPr>
        <w:rFonts w:ascii="Arial" w:cs="Arial" w:eastAsia="Arial" w:hAnsi="Arial"/>
      </w:rPr>
    </w:lvl>
    <w:lvl w:ilvl="1" w15:tentative="1">
      <w:start w:val="1"/>
      <w:numFmt w:val="lowerLetter"/>
      <w:lvlText w:val="%2."/>
      <w:lvlJc w:val="left"/>
      <w:pPr>
        <w:spacing w:before="30" w:after="30"/>
      </w:pPr>
      <w:rPr>
        <w:rFonts w:ascii="Arial" w:cs="Arial" w:eastAsia="Arial" w:hAnsi="Arial"/>
      </w:rPr>
    </w:lvl>
    <w:lvl w:ilvl="2" w15:tentative="1">
      <w:start w:val="1"/>
      <w:numFmt w:val="lowerRoman"/>
      <w:lvlText w:val="%3."/>
      <w:lvlJc w:val="left"/>
      <w:pPr>
        <w:spacing w:before="30" w:after="30"/>
      </w:pPr>
      <w:rPr>
        <w:rFonts w:ascii="Arial" w:cs="Arial" w:eastAsia="Arial" w:hAnsi="Arial"/>
      </w:rPr>
    </w:lvl>
    <w:lvl w:ilvl="3" w15:tentative="1">
      <w:start w:val="1"/>
      <w:numFmt w:val="decimal"/>
      <w:lvlText w:val="%4."/>
      <w:lvlJc w:val="left"/>
      <w:pPr>
        <w:spacing w:before="30" w:after="30"/>
      </w:pPr>
      <w:rPr>
        <w:rFonts w:ascii="Arial" w:cs="Arial" w:eastAsia="Arial" w:hAnsi="Arial"/>
      </w:rPr>
    </w:lvl>
    <w:lvl w:ilvl="4" w15:tentative="1">
      <w:start w:val="1"/>
      <w:numFmt w:val="decimal"/>
      <w:lvlText w:val="%5."/>
      <w:lvlJc w:val="left"/>
      <w:pPr>
        <w:spacing w:before="30" w:after="30"/>
      </w:pPr>
      <w:rPr>
        <w:rFonts w:ascii="Arial" w:cs="Arial" w:eastAsia="Arial" w:hAnsi="Arial"/>
      </w:rPr>
    </w:lvl>
    <w:lvl w:ilvl="5" w15:tentative="1">
      <w:start w:val="1"/>
      <w:numFmt w:val="decimal"/>
      <w:lvlText w:val="%6."/>
      <w:lvlJc w:val="left"/>
      <w:pPr>
        <w:spacing w:before="30" w:after="30"/>
      </w:pPr>
      <w:rPr>
        <w:rFonts w:ascii="Arial" w:cs="Arial" w:eastAsia="Arial" w:hAnsi="Arial"/>
      </w:rPr>
    </w:lvl>
    <w:lvl w:ilvl="6" w15:tentative="1">
      <w:start w:val="1"/>
      <w:numFmt w:val="lowerLetter"/>
      <w:lvlText w:val="%7."/>
      <w:lvlJc w:val="left"/>
      <w:pPr>
        <w:spacing w:before="30" w:after="30"/>
      </w:pPr>
      <w:rPr>
        <w:rFonts w:ascii="Arial" w:cs="Arial" w:eastAsia="Arial" w:hAnsi="Arial"/>
      </w:rPr>
    </w:lvl>
    <w:lvl w:ilvl="7" w15:tentative="1">
      <w:start w:val="1"/>
      <w:numFmt w:val="lowerRoman"/>
      <w:lvlText w:val="%8."/>
      <w:lvlJc w:val="left"/>
      <w:pPr>
        <w:spacing w:before="30" w:after="30"/>
      </w:pPr>
      <w:rPr>
        <w:rFonts w:ascii="Arial" w:cs="Arial" w:eastAsia="Arial" w:hAnsi="Arial"/>
      </w:rPr>
    </w:lvl>
    <w:lvl w:ilvl="8" w15:tentative="1">
      <w:start w:val="1"/>
      <w:numFmt w:val="decimal"/>
      <w:lvlText w:val="%9."/>
      <w:lvlJc w:val="left"/>
      <w:pPr>
        <w:spacing w:before="30" w:after="3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25" w:after="225" w:line="450"/>
    </w:pPr>
    <w:rPr>
      <w:b/>
      <w:bCs/>
      <w:sz w:val="45"/>
      <w:szCs w:val="45"/>
    </w:rPr>
  </w:style>
  <w:style w:type="paragraph" w:styleId="Heading2">
    <w:name w:val="Heading 2"/>
    <w:basedOn w:val="Normal"/>
    <w:next w:val="Normal"/>
    <w:qFormat/>
    <w:pPr>
      <w:spacing w:before="180" w:after="180" w:line="360"/>
    </w:pPr>
    <w:rPr>
      <w:b/>
      <w:bCs/>
      <w:sz w:val="36"/>
      <w:szCs w:val="36"/>
    </w:rPr>
  </w:style>
  <w:style w:type="paragraph" w:styleId="Heading3">
    <w:name w:val="Heading 3"/>
    <w:basedOn w:val="Normal"/>
    <w:next w:val="Normal"/>
    <w:qFormat/>
    <w:pPr>
      <w:spacing w:before="150" w:after="150" w:line="450"/>
    </w:pPr>
    <w:rPr>
      <w:b/>
      <w:bCs/>
      <w:sz w:val="30"/>
      <w:szCs w:val="30"/>
    </w:rPr>
  </w:style>
  <w:style w:type="paragraph" w:styleId="Heading4">
    <w:name w:val="Heading 4"/>
    <w:basedOn w:val="Normal"/>
    <w:next w:val="Normal"/>
    <w:qFormat/>
    <w:pPr>
      <w:spacing w:before="140" w:after="140" w:line="420"/>
    </w:pPr>
    <w:rPr>
      <w:b/>
      <w:bCs/>
      <w:sz w:val="28"/>
      <w:szCs w:val="28"/>
    </w:rPr>
  </w:style>
  <w:style w:type="paragraph" w:styleId="Heading5">
    <w:name w:val="Heading 5"/>
    <w:basedOn w:val="Normal"/>
    <w:next w:val="Normal"/>
    <w:qFormat/>
    <w:pPr>
      <w:spacing w:before="120" w:after="120" w:line="360"/>
    </w:pPr>
    <w:rPr>
      <w:b/>
      <w:bCs/>
      <w:sz w:val="24"/>
      <w:szCs w:val="24"/>
    </w:rPr>
  </w:style>
  <w:style w:type="paragraph" w:styleId="Heading6">
    <w:name w:val="Heading 6"/>
    <w:basedOn w:val="Normal"/>
    <w:next w:val="Normal"/>
    <w:qFormat/>
    <w:pPr>
      <w:spacing w:before="100" w:after="100" w:line="300"/>
    </w:pPr>
    <w:rPr>
      <w:b/>
      <w:bCs/>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120" w:after="120" w:line="360"/>
    </w:pPr>
    <w:rPr>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2025-04-24T19:09:43.982Z</dcterms:created>
  <dcterms:modified xsi:type="dcterms:W3CDTF">2025-04-24T19:09:43.982Z</dcterms:modified>
</cp:coreProperties>
</file>

<file path=docProps/custom.xml><?xml version="1.0" encoding="utf-8"?>
<Properties xmlns="http://schemas.openxmlformats.org/officeDocument/2006/custom-properties" xmlns:vt="http://schemas.openxmlformats.org/officeDocument/2006/docPropsVTypes"/>
</file>