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jc w:val="center"/>
        <w:rPr>
          <w:sz w:val="32"/>
          <w:szCs w:val="32"/>
        </w:rPr>
      </w:pPr>
      <w:bookmarkStart w:colFirst="0" w:colLast="0" w:name="_1w5kxmnbzdz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highlight w:val="white"/>
          <w:rtl w:val="0"/>
        </w:rPr>
        <w:t xml:space="preserve">Технико-экономическое обоснование эффективности разработки и использования back end для сервиса фриланса по оказанию бытовых услуг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byi14abd8r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6.1 Краткая характеристика программного средства</w:t>
      </w:r>
    </w:p>
    <w:p w:rsidR="00000000" w:rsidDel="00000000" w:rsidP="00000000" w:rsidRDefault="00000000" w:rsidRPr="00000000" w14:paraId="00000003">
      <w:pPr>
        <w:spacing w:line="276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Разрабатываемое в дипломном проекте программное средство позволяет любому пользователю как заказать выполнение какой-либо услуги, так и самому принять заказ.</w:t>
      </w:r>
    </w:p>
    <w:p w:rsidR="00000000" w:rsidDel="00000000" w:rsidP="00000000" w:rsidRDefault="00000000" w:rsidRPr="00000000" w14:paraId="00000004">
      <w:pPr>
        <w:spacing w:line="276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основные функциональные особенности программного средства. Программное обеспечение должно обеспечивать выполнение следующих функций: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создать услугу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оформить заказ на услугу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оставить жалобу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написать комментарий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посмотреть список всех возможных услуг с поиском по названию и фильтрацией по месту выполнения и цене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просмотра своих предыдущих активностей(созданных и заказанных услуг, оставленных жалоб и так далее)</w:t>
      </w:r>
    </w:p>
    <w:p w:rsidR="00000000" w:rsidDel="00000000" w:rsidP="00000000" w:rsidRDefault="00000000" w:rsidRPr="00000000" w14:paraId="0000000B">
      <w:pPr>
        <w:spacing w:line="276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программное средство реализовано с использованием архитектуры клиент-сервер. </w:t>
      </w:r>
    </w:p>
    <w:p w:rsidR="00000000" w:rsidDel="00000000" w:rsidP="00000000" w:rsidRDefault="00000000" w:rsidRPr="00000000" w14:paraId="0000000C">
      <w:pPr>
        <w:spacing w:line="276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и внедрение данного программного средства осуществляются сотрудниками отдела разработки программного обеспечения компании по оказанию фриланс услуг.</w:t>
      </w:r>
    </w:p>
    <w:p w:rsidR="00000000" w:rsidDel="00000000" w:rsidP="00000000" w:rsidRDefault="00000000" w:rsidRPr="00000000" w14:paraId="0000000D">
      <w:pPr>
        <w:spacing w:line="276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Программное средство обеспечит прирост прибыли за счет снижения рутинной работы и нагрузки с сотрудников администрации сайта. После его внедрения их обязанностями станет лишь реагировать на жалобы, управлять черным списком и отвечать на вопросы работников и клиентов. Данное программное средство избавит их от таких рутинных задач, как поиск подходящей услуги, проверка потенциальных клиентов и рабочих, согласование времени выполнения услуги, уточнение места работы и наличия материалов и так далее.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6tzlfinue7x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6.2 Расчет затрат на разработку программного обеспечения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5.45509090909087" w:lineRule="auto"/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Продолжительность разработки данного программного обеспечения составит 88 дней. Для этого будет задействовано 4 специалиста:</w:t>
      </w:r>
    </w:p>
    <w:p w:rsidR="00000000" w:rsidDel="00000000" w:rsidP="00000000" w:rsidRDefault="00000000" w:rsidRPr="00000000" w14:paraId="00000012">
      <w:pPr>
        <w:spacing w:line="305.4550909090908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ведущий инженер-программист (тарифный коэффициент - 3,98; срок участия в разработке ПО – 88 дней);</w:t>
      </w:r>
    </w:p>
    <w:p w:rsidR="00000000" w:rsidDel="00000000" w:rsidP="00000000" w:rsidRDefault="00000000" w:rsidRPr="00000000" w14:paraId="00000013">
      <w:pPr>
        <w:spacing w:line="305.4550909090908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инженер-программист (тарифный коэффициент – 3,25; срок участия в разработке ПО – 88 дней);</w:t>
      </w:r>
    </w:p>
    <w:p w:rsidR="00000000" w:rsidDel="00000000" w:rsidP="00000000" w:rsidRDefault="00000000" w:rsidRPr="00000000" w14:paraId="00000014">
      <w:pPr>
        <w:spacing w:line="305.4550909090908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тестировщик (тарифный коэффициент – 2,48; срок участия в разработке ПО – 66 дней);</w:t>
      </w:r>
    </w:p>
    <w:p w:rsidR="00000000" w:rsidDel="00000000" w:rsidP="00000000" w:rsidRDefault="00000000" w:rsidRPr="00000000" w14:paraId="00000015">
      <w:pPr>
        <w:spacing w:line="305.45509090909087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бизнес-аналитик (тарифный коэффициент – 2,48; срок участия в разработке ПО – 22 дня);</w:t>
      </w:r>
    </w:p>
    <w:p w:rsidR="00000000" w:rsidDel="00000000" w:rsidP="00000000" w:rsidRDefault="00000000" w:rsidRPr="00000000" w14:paraId="00000016">
      <w:pPr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Месячная тарифная ставка каждого сотрудника (Т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определяется путем умножения тарифного коэффициента (Т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на действующую месячную тарифную ставку первого разряда (Т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м1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принятую на предприятии: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к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∗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Действующая на данном предприятии тарифная ставка первого разряда составляет 1000 рублей. Дневную тарифную ставку (Т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получаем путем деления месячной тарифной ставки  (Т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на расчетную среднемесячную норму рабочего времени в днях (22 дня):</w:t>
      </w:r>
    </w:p>
    <w:p w:rsidR="00000000" w:rsidDel="00000000" w:rsidP="00000000" w:rsidRDefault="00000000" w:rsidRPr="00000000" w14:paraId="00000019">
      <w:pPr>
        <w:ind w:left="0" w:firstLine="720.0000000000001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 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Т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м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 рассчитаем дневные и месячные тарифные ставки ведущего инженера-программиста (Т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м1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д1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инженера-программиста (Т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м2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д2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тестировщика (Т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м3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д3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бизнес-аналитика (Т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м4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д4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100 * 3.98 = 398 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д1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398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18,09 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100 * 3.25 = 325 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325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14,77 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100 * 2.48 = 248 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д3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248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11,27 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100 * 2.48 = 248 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д4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248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22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11,27 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основной заработной платы (З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произведем по формуле:</w:t>
      </w:r>
    </w:p>
    <w:p w:rsidR="00000000" w:rsidDel="00000000" w:rsidP="00000000" w:rsidRDefault="00000000" w:rsidRPr="00000000" w14:paraId="00000024">
      <w:pPr>
        <w:ind w:left="0" w:firstLine="720.0000000000001"/>
        <w:jc w:val="center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З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о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i = 1</m:t>
            </m:r>
          </m:sub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дi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Ф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зi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720.0000000000001"/>
        <w:jc w:val="both"/>
        <w:rPr>
          <w:rFonts w:ascii="Times New Roman" w:cs="Times New Roman" w:eastAsia="Times New Roman" w:hAnsi="Times New Roman"/>
          <w:sz w:val="28"/>
          <w:szCs w:val="28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n - количество сотрудников, работающих над проектом;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тарифная дневная ставка i-го сотрудника, руб;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Ф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зi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эффективный фонд рабочего времени i-го исполнителя, дней;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таблице 6.1 представлены результаты расчета основной заработной платы сотрудников, работающих над проектом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6.1 - Расчет основной заработной платы разработчиков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1485"/>
        <w:gridCol w:w="1440"/>
        <w:gridCol w:w="2085"/>
        <w:gridCol w:w="1590"/>
        <w:tblGridChange w:id="0">
          <w:tblGrid>
            <w:gridCol w:w="2415"/>
            <w:gridCol w:w="1485"/>
            <w:gridCol w:w="1440"/>
            <w:gridCol w:w="2085"/>
            <w:gridCol w:w="15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Исполнитель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Месячная тарифная ставка, 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Дневная тарифная ставка, 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05.45509090909087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Продолжительность участия в разработке, чел.-дн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05.45509090909087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Основная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305.45509090909087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заработная плата, р.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05.45509090909087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ведущий инженер-программист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18,09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1591,92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05.45509090909087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инженер-программист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14,77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1299.76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305.45509090909087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тестировщик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11,27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743,83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305.45509090909087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бизнес-аналитик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11,27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247,94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итого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3886,08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Дополнительную заработную плату сотрудников, работающих на проекте, определим по формуле: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З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з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о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*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Н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д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5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 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основная заработная плата;</w:t>
      </w:r>
    </w:p>
    <w:p w:rsidR="00000000" w:rsidDel="00000000" w:rsidP="00000000" w:rsidRDefault="00000000" w:rsidRPr="00000000" w14:paraId="0000005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норматив дополнительной заработной платы (250%).</w:t>
      </w:r>
    </w:p>
    <w:p w:rsidR="00000000" w:rsidDel="00000000" w:rsidP="00000000" w:rsidRDefault="00000000" w:rsidRPr="00000000" w14:paraId="0000005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 образом затраты на дополнительную заработную плату составят:</w:t>
      </w:r>
    </w:p>
    <w:p w:rsidR="00000000" w:rsidDel="00000000" w:rsidP="00000000" w:rsidRDefault="00000000" w:rsidRPr="00000000" w14:paraId="00000055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З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д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3886,08 * 250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9715,2 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Отчисления на обязательное страхование и в фонд социальной защиты населения рассчитаем по формуле:</w:t>
      </w:r>
    </w:p>
    <w:p w:rsidR="00000000" w:rsidDel="00000000" w:rsidP="00000000" w:rsidRDefault="00000000" w:rsidRPr="00000000" w14:paraId="00000057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З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сз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З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о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+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З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д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) *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Н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соц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5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соц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норматив отчислений на социальные нужды (35 %).</w:t>
      </w:r>
    </w:p>
    <w:p w:rsidR="00000000" w:rsidDel="00000000" w:rsidP="00000000" w:rsidRDefault="00000000" w:rsidRPr="00000000" w14:paraId="0000005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 размер отчислений на обязательное страхование составляет:</w:t>
      </w:r>
    </w:p>
    <w:p w:rsidR="00000000" w:rsidDel="00000000" w:rsidP="00000000" w:rsidRDefault="00000000" w:rsidRPr="00000000" w14:paraId="0000005A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З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сн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(3886,08 +9715,2) * 35 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4760,45 р</w:t>
      </w:r>
    </w:p>
    <w:p w:rsidR="00000000" w:rsidDel="00000000" w:rsidP="00000000" w:rsidRDefault="00000000" w:rsidRPr="00000000" w14:paraId="0000005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некоторых видов тестирования программного средства, например стрессового тестирования или объемного тестирования, необходим сервер. Количество дней, требующихся для такого вида тестирования, равно 10. Расходы по статье «Машинной время» (Р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рассчитаем по формуле:</w:t>
      </w:r>
    </w:p>
    <w:p w:rsidR="00000000" w:rsidDel="00000000" w:rsidP="00000000" w:rsidRDefault="00000000" w:rsidRPr="00000000" w14:paraId="0000005C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Р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Ц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* 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Т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ч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*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С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р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Цм - стоимость одного машино-часа (0,58 р);</w:t>
      </w:r>
    </w:p>
    <w:p w:rsidR="00000000" w:rsidDel="00000000" w:rsidP="00000000" w:rsidRDefault="00000000" w:rsidRPr="00000000" w14:paraId="0000005E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Тч - количество рабочих часов в день (8 ч);</w:t>
      </w:r>
    </w:p>
    <w:p w:rsidR="00000000" w:rsidDel="00000000" w:rsidP="00000000" w:rsidRDefault="00000000" w:rsidRPr="00000000" w14:paraId="0000005F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 - количество дней использования сервера (10 дней).</w:t>
      </w:r>
    </w:p>
    <w:p w:rsidR="00000000" w:rsidDel="00000000" w:rsidP="00000000" w:rsidRDefault="00000000" w:rsidRPr="00000000" w14:paraId="00000060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 затраты по статье «Машинной время» составляют:</w:t>
      </w:r>
    </w:p>
    <w:p w:rsidR="00000000" w:rsidDel="00000000" w:rsidP="00000000" w:rsidRDefault="00000000" w:rsidRPr="00000000" w14:paraId="00000061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Р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0,58 * 8*10 = 46,4  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Расчет затрат по статье «Прочие затраты» (З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пз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произведем по формуле:</w:t>
      </w:r>
    </w:p>
    <w:p w:rsidR="00000000" w:rsidDel="00000000" w:rsidP="00000000" w:rsidRDefault="00000000" w:rsidRPr="00000000" w14:paraId="00000063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З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пз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З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о</m:t>
                </m:r>
              </m:sub>
            </m:s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 *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Н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пз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основная заработная плата;</w:t>
      </w:r>
    </w:p>
    <w:p w:rsidR="00000000" w:rsidDel="00000000" w:rsidP="00000000" w:rsidRDefault="00000000" w:rsidRPr="00000000" w14:paraId="0000006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bscript"/>
          <w:rtl w:val="0"/>
        </w:rPr>
        <w:t xml:space="preserve">пз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норматив прочих затрат (120%).</w:t>
      </w:r>
    </w:p>
    <w:p w:rsidR="00000000" w:rsidDel="00000000" w:rsidP="00000000" w:rsidRDefault="00000000" w:rsidRPr="00000000" w14:paraId="0000006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 затраты по статье «Прочие затраты» составляют:</w:t>
      </w:r>
    </w:p>
    <w:p w:rsidR="00000000" w:rsidDel="00000000" w:rsidP="00000000" w:rsidRDefault="00000000" w:rsidRPr="00000000" w14:paraId="00000067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З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пз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3886,08 * 120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4663,3 р</w:t>
      </w:r>
    </w:p>
    <w:p w:rsidR="00000000" w:rsidDel="00000000" w:rsidP="00000000" w:rsidRDefault="00000000" w:rsidRPr="00000000" w14:paraId="00000068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Полная сумма затрат на разработку программного средства представлена в таблице 6.2.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 6.2 - Полная сумма затрат на разработку программного средства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25"/>
        <w:gridCol w:w="1575"/>
        <w:tblGridChange w:id="0">
          <w:tblGrid>
            <w:gridCol w:w="7425"/>
            <w:gridCol w:w="1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Статья затрат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Сумма, 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Основная заработная плата команды разработчиков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3886,08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Дополнительная заработная плата команды разработчиков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9715,2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Отчисления на социальные нужды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ind w:lef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4760,45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Машинной время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46,4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Прочие затраты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4663,3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Общая сумма затрат на разработку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23071,43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 общая сумма затрат на разработку программного средства составляет 23071,43 рублей.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