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20AA" w14:textId="77777777" w:rsidR="008256D7" w:rsidRDefault="00000000">
      <w:pPr>
        <w:spacing w:after="40" w:line="259" w:lineRule="auto"/>
      </w:pPr>
      <w:r>
        <w:rPr>
          <w:rFonts w:ascii="Aptos Display" w:hAnsi="Aptos Display"/>
          <w:color w:val="17324D"/>
          <w:sz w:val="52"/>
        </w:rPr>
        <w:t>European Optical Market</w:t>
      </w:r>
      <w:r>
        <w:rPr>
          <w:rFonts w:ascii="Aptos Display" w:hAnsi="Aptos Display"/>
          <w:color w:val="17324D"/>
          <w:sz w:val="52"/>
        </w:rPr>
        <w:br/>
        <w:t>&amp; Competitor Analysis</w:t>
      </w:r>
    </w:p>
    <w:p w14:paraId="03440A4E" w14:textId="77777777" w:rsidR="008256D7" w:rsidRDefault="008256D7">
      <w:pPr>
        <w:pBdr>
          <w:bottom w:val="single" w:sz="12" w:space="1" w:color="2E75B6"/>
        </w:pBdr>
        <w:spacing w:after="180"/>
      </w:pPr>
    </w:p>
    <w:p w14:paraId="644BFF11" w14:textId="77777777" w:rsidR="008256D7" w:rsidRDefault="00000000">
      <w:pPr>
        <w:spacing w:after="160" w:line="259" w:lineRule="auto"/>
      </w:pPr>
      <w:r>
        <w:rPr>
          <w:b/>
          <w:color w:val="4B4B4B"/>
          <w:sz w:val="29"/>
        </w:rPr>
        <w:t>Portfolio case for a Market Intelligence working-student application</w:t>
      </w:r>
    </w:p>
    <w:p w14:paraId="528519E0" w14:textId="77777777" w:rsidR="008256D7" w:rsidRDefault="00000000">
      <w:pPr>
        <w:spacing w:after="40" w:line="259" w:lineRule="auto"/>
      </w:pPr>
      <w:r>
        <w:rPr>
          <w:i/>
          <w:sz w:val="20"/>
        </w:rPr>
        <w:t>Focus: European ophthalmic spectacle lenses</w:t>
      </w:r>
    </w:p>
    <w:p w14:paraId="573E8A07" w14:textId="77777777" w:rsidR="008256D7" w:rsidRDefault="00000000">
      <w:pPr>
        <w:spacing w:after="280" w:line="259" w:lineRule="auto"/>
      </w:pPr>
      <w:r>
        <w:rPr>
          <w:i/>
          <w:sz w:val="20"/>
        </w:rPr>
        <w:t>Data cut: September 2026</w:t>
      </w:r>
    </w:p>
    <w:p w14:paraId="186C178B" w14:textId="77777777" w:rsidR="00BE473D" w:rsidRDefault="00BE473D">
      <w:pPr>
        <w:spacing w:line="259" w:lineRule="auto"/>
        <w:rPr>
          <w:bCs/>
        </w:rPr>
      </w:pPr>
      <w:r w:rsidRPr="00BE473D">
        <w:rPr>
          <w:b/>
        </w:rPr>
        <w:t xml:space="preserve">Scope. </w:t>
      </w:r>
      <w:r w:rsidRPr="00BE473D">
        <w:rPr>
          <w:bCs/>
        </w:rPr>
        <w:t>The analysis focuses on prescription spectacle lenses in Europe rather than the broader eyewear market, as frames, contact lenses and intraocular lenses have different demand drivers and competitive dynamics.</w:t>
      </w:r>
    </w:p>
    <w:p w14:paraId="5978DBD2" w14:textId="77777777" w:rsidR="00BE473D" w:rsidRDefault="00BE473D">
      <w:pPr>
        <w:spacing w:line="259" w:lineRule="auto"/>
        <w:rPr>
          <w:b/>
        </w:rPr>
      </w:pPr>
    </w:p>
    <w:p w14:paraId="4FF2BF3C" w14:textId="77777777" w:rsidR="008256D7" w:rsidRDefault="00000000">
      <w:pPr>
        <w:pStyle w:val="berschrift1"/>
        <w:spacing w:before="160" w:after="80"/>
      </w:pPr>
      <w:r>
        <w:t>1. Executive summary</w:t>
      </w:r>
    </w:p>
    <w:p w14:paraId="311748AB" w14:textId="6695FD78" w:rsidR="008256D7" w:rsidRDefault="00000000">
      <w:pPr>
        <w:pStyle w:val="Aufzhlungszeichen"/>
        <w:spacing w:after="60" w:line="254" w:lineRule="auto"/>
      </w:pPr>
      <w:r>
        <w:rPr>
          <w:b/>
          <w:sz w:val="20"/>
        </w:rPr>
        <w:t xml:space="preserve">Germany shows a value-versus-volume gap. </w:t>
      </w:r>
      <w:r>
        <w:rPr>
          <w:sz w:val="20"/>
        </w:rPr>
        <w:t>Between 2022 and 2025, sector revenue rose from EUR 6.6</w:t>
      </w:r>
      <w:r w:rsidR="00D10C3A">
        <w:rPr>
          <w:sz w:val="20"/>
        </w:rPr>
        <w:t>9</w:t>
      </w:r>
      <w:r>
        <w:rPr>
          <w:sz w:val="20"/>
        </w:rPr>
        <w:t>bn to EUR 7.025bn (+5.0%), while complete-spectacle sales fell from 12.52m to 11.77m and spectacle-lens sales from 38.73m to 36.56m.</w:t>
      </w:r>
    </w:p>
    <w:p w14:paraId="654B91D9" w14:textId="77777777" w:rsidR="008256D7" w:rsidRDefault="00000000">
      <w:pPr>
        <w:pStyle w:val="Aufzhlungszeichen"/>
        <w:spacing w:after="60" w:line="254" w:lineRule="auto"/>
      </w:pPr>
      <w:r>
        <w:rPr>
          <w:b/>
          <w:sz w:val="20"/>
        </w:rPr>
        <w:t xml:space="preserve">Demographics support long-term relevance. </w:t>
      </w:r>
      <w:r>
        <w:rPr>
          <w:sz w:val="20"/>
        </w:rPr>
        <w:t>People aged 65+ represented 22% of the EU population in 2025, supporting the relevance of presbyopia correction and premium progressive lenses.</w:t>
      </w:r>
    </w:p>
    <w:p w14:paraId="1F2727D9" w14:textId="77777777" w:rsidR="008256D7" w:rsidRDefault="00000000">
      <w:pPr>
        <w:pStyle w:val="Aufzhlungszeichen"/>
        <w:spacing w:after="60" w:line="254" w:lineRule="auto"/>
      </w:pPr>
      <w:r>
        <w:rPr>
          <w:b/>
          <w:sz w:val="20"/>
        </w:rPr>
        <w:t xml:space="preserve">Personalisation is a common competitive theme. </w:t>
      </w:r>
      <w:r>
        <w:rPr>
          <w:sz w:val="20"/>
        </w:rPr>
        <w:t>Rodenstock, Essilor, ZEISS and HOYA all use biometric, behavioural or wearer-specific inputs. Rodenstock's more distinctive story is the depth of biometric measurement and visual-sensitivity positioning.</w:t>
      </w:r>
    </w:p>
    <w:p w14:paraId="3C306688" w14:textId="77777777" w:rsidR="008256D7" w:rsidRDefault="00000000">
      <w:pPr>
        <w:pStyle w:val="Aufzhlungszeichen"/>
        <w:spacing w:after="60" w:line="254" w:lineRule="auto"/>
      </w:pPr>
      <w:r>
        <w:rPr>
          <w:b/>
          <w:sz w:val="20"/>
        </w:rPr>
        <w:t xml:space="preserve">Pediatric myopia management is a distinct competitive category. </w:t>
      </w:r>
      <w:r>
        <w:rPr>
          <w:sz w:val="20"/>
        </w:rPr>
        <w:t>MyCon 2, Stellest, ZEISS MyoCare and MiYOSMART show that competition increasingly extends beyond standard vision correction.</w:t>
      </w:r>
    </w:p>
    <w:p w14:paraId="27DA39D0" w14:textId="77777777" w:rsidR="008256D7" w:rsidRPr="00BE473D" w:rsidRDefault="00000000">
      <w:pPr>
        <w:pStyle w:val="Aufzhlungszeichen"/>
        <w:spacing w:after="60" w:line="254" w:lineRule="auto"/>
      </w:pPr>
      <w:r>
        <w:rPr>
          <w:b/>
          <w:sz w:val="20"/>
        </w:rPr>
        <w:t xml:space="preserve">Channel structure differs materially. </w:t>
      </w:r>
      <w:r>
        <w:rPr>
          <w:sz w:val="20"/>
        </w:rPr>
        <w:t>EssilorLuxottica combines wholesale with a large proprietary retail and e-commerce footprint, while Rodenstock, ZEISS and HOYA are more strongly partner-led in their go-to-market models.</w:t>
      </w:r>
    </w:p>
    <w:p w14:paraId="6F5D2477" w14:textId="77777777" w:rsidR="00BE473D" w:rsidRDefault="00BE473D" w:rsidP="00BE473D">
      <w:pPr>
        <w:pStyle w:val="Aufzhlungszeichen"/>
        <w:numPr>
          <w:ilvl w:val="0"/>
          <w:numId w:val="0"/>
        </w:numPr>
        <w:spacing w:after="60" w:line="254" w:lineRule="auto"/>
        <w:ind w:left="360"/>
      </w:pPr>
    </w:p>
    <w:p w14:paraId="79E8A232" w14:textId="77777777" w:rsidR="008256D7" w:rsidRDefault="00000000">
      <w:pPr>
        <w:pStyle w:val="berschrift1"/>
        <w:spacing w:before="160" w:after="80"/>
      </w:pPr>
      <w:r>
        <w:t>2. Market definition and method</w:t>
      </w:r>
    </w:p>
    <w:p w14:paraId="6CA35CDC" w14:textId="77777777" w:rsidR="008256D7" w:rsidRDefault="00000000">
      <w:pPr>
        <w:spacing w:after="120" w:line="259" w:lineRule="auto"/>
      </w:pPr>
      <w:r>
        <w:rPr>
          <w:b/>
        </w:rPr>
        <w:t xml:space="preserve">Primary market. </w:t>
      </w:r>
      <w:r>
        <w:t>Prescription spectacle lenses sold in Europe through optical retailers and eye-care professionals, including single-vision, progressive, occupational/digital, photochromic and pediatric myopia-management lenses. Premium coatings are treated as a lens value-add.</w:t>
      </w:r>
    </w:p>
    <w:p w14:paraId="522E5823" w14:textId="3BA7A4BE" w:rsidR="008256D7" w:rsidRDefault="00000000">
      <w:pPr>
        <w:spacing w:after="120" w:line="259" w:lineRule="auto"/>
      </w:pPr>
      <w:r>
        <w:rPr>
          <w:b/>
        </w:rPr>
        <w:t xml:space="preserve">Broader context. </w:t>
      </w:r>
      <w:r w:rsidR="003D262E" w:rsidRPr="003D262E">
        <w:t>The GMI forecast uses a wider ophthalmic-lens definition including spectacle lenses, contact lenses and IOLs. It is therefore used only as external market context, not as an estimate of Rodenstock's addressable spectacle-lens market.</w:t>
      </w:r>
    </w:p>
    <w:p w14:paraId="56F80610" w14:textId="6B566869" w:rsidR="00BE473D" w:rsidRDefault="00000000">
      <w:pPr>
        <w:spacing w:after="120" w:line="259" w:lineRule="auto"/>
      </w:pPr>
      <w:r>
        <w:rPr>
          <w:b/>
        </w:rPr>
        <w:t xml:space="preserve">Evidence base. </w:t>
      </w:r>
      <w:r>
        <w:t>The analysis combines Eurostat, ZVA industry data, official company product pages, company reports and selected scientific literature. Germany is used as a transparent mature-market deep dive rather than as a proxy for all of Europe.</w:t>
      </w:r>
    </w:p>
    <w:p w14:paraId="160C278F" w14:textId="5D1185A8" w:rsidR="008256D7" w:rsidRDefault="00BE473D" w:rsidP="00BE473D">
      <w:r>
        <w:br w:type="page"/>
      </w:r>
    </w:p>
    <w:p w14:paraId="144279AD" w14:textId="77777777" w:rsidR="008256D7" w:rsidRDefault="00000000">
      <w:pPr>
        <w:pStyle w:val="berschrift1"/>
        <w:spacing w:before="160" w:after="80"/>
      </w:pPr>
      <w:r>
        <w:lastRenderedPageBreak/>
        <w:t>3. Broader European market context</w:t>
      </w:r>
    </w:p>
    <w:p w14:paraId="5542A1FC" w14:textId="77777777" w:rsidR="008256D7" w:rsidRDefault="00000000">
      <w:pPr>
        <w:spacing w:after="160" w:line="259" w:lineRule="auto"/>
      </w:pPr>
      <w:r>
        <w:t>Global Market Insights estimates the broader European ophthalmic-lens market at USD 5.4bn in 2025, USD 5.7bn in 2026 and USD 8.5bn in 2035, implying a 4.6% CAGR. The source definition explicitly includes spectacle lenses, contact lenses and IOLs; contact lenses alone accounted for USD 2.9bn in 2025. For that reason, the figures below are used only to show the broader category direction, not the size of the spectacle-lens market.</w:t>
      </w:r>
    </w:p>
    <w:p w14:paraId="3566F0AE" w14:textId="77777777" w:rsidR="00781450" w:rsidRDefault="00781450">
      <w:pPr>
        <w:spacing w:after="160" w:line="259" w:lineRule="auto"/>
      </w:pPr>
    </w:p>
    <w:tbl>
      <w:tblPr>
        <w:tblStyle w:val="Listentabelle3Akzent1"/>
        <w:tblW w:w="0" w:type="auto"/>
        <w:tblLook w:val="04A0" w:firstRow="1" w:lastRow="0" w:firstColumn="1" w:lastColumn="0" w:noHBand="0" w:noVBand="1"/>
      </w:tblPr>
      <w:tblGrid>
        <w:gridCol w:w="2519"/>
        <w:gridCol w:w="2519"/>
        <w:gridCol w:w="2518"/>
        <w:gridCol w:w="2514"/>
      </w:tblGrid>
      <w:tr w:rsidR="00781450" w14:paraId="26070D27" w14:textId="77777777" w:rsidTr="007814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5" w:type="dxa"/>
            <w:shd w:val="clear" w:color="auto" w:fill="17324D"/>
          </w:tcPr>
          <w:p w14:paraId="6E2E9F42" w14:textId="44A5DF18" w:rsidR="00781450" w:rsidRPr="00781450" w:rsidRDefault="00781450" w:rsidP="00781450">
            <w:pPr>
              <w:jc w:val="center"/>
              <w:rPr>
                <w:sz w:val="17"/>
                <w:szCs w:val="17"/>
              </w:rPr>
            </w:pPr>
            <w:r w:rsidRPr="00781450">
              <w:rPr>
                <w:sz w:val="17"/>
                <w:szCs w:val="17"/>
              </w:rPr>
              <w:t>2025 estimate</w:t>
            </w:r>
          </w:p>
        </w:tc>
        <w:tc>
          <w:tcPr>
            <w:tcW w:w="2555" w:type="dxa"/>
            <w:shd w:val="clear" w:color="auto" w:fill="17324D"/>
          </w:tcPr>
          <w:p w14:paraId="0DA08B02" w14:textId="0D5A2175" w:rsidR="00781450" w:rsidRPr="00781450" w:rsidRDefault="00781450" w:rsidP="00781450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781450">
              <w:rPr>
                <w:sz w:val="17"/>
                <w:szCs w:val="17"/>
              </w:rPr>
              <w:t>2026 estimate</w:t>
            </w:r>
          </w:p>
        </w:tc>
        <w:tc>
          <w:tcPr>
            <w:tcW w:w="2555" w:type="dxa"/>
            <w:shd w:val="clear" w:color="auto" w:fill="17324D"/>
          </w:tcPr>
          <w:p w14:paraId="63019215" w14:textId="3A37D6CC" w:rsidR="00781450" w:rsidRPr="00781450" w:rsidRDefault="00781450" w:rsidP="00781450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781450">
              <w:rPr>
                <w:sz w:val="17"/>
                <w:szCs w:val="17"/>
              </w:rPr>
              <w:t>2035 forecast</w:t>
            </w:r>
          </w:p>
        </w:tc>
        <w:tc>
          <w:tcPr>
            <w:tcW w:w="2555" w:type="dxa"/>
            <w:shd w:val="clear" w:color="auto" w:fill="17324D"/>
          </w:tcPr>
          <w:p w14:paraId="4E4E1EF9" w14:textId="0E487857" w:rsidR="00781450" w:rsidRPr="00781450" w:rsidRDefault="00781450" w:rsidP="00781450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781450">
              <w:rPr>
                <w:sz w:val="17"/>
                <w:szCs w:val="17"/>
              </w:rPr>
              <w:t>2026–35 CAGR</w:t>
            </w:r>
          </w:p>
        </w:tc>
      </w:tr>
      <w:tr w:rsidR="00781450" w14:paraId="2F082B0E" w14:textId="77777777" w:rsidTr="00781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5" w:type="dxa"/>
            <w:vAlign w:val="bottom"/>
          </w:tcPr>
          <w:p w14:paraId="77904AB6" w14:textId="6BE8E6AD" w:rsidR="00781450" w:rsidRPr="00781450" w:rsidRDefault="00781450" w:rsidP="00781450">
            <w:pPr>
              <w:spacing w:after="160" w:line="259" w:lineRule="auto"/>
              <w:jc w:val="center"/>
              <w:rPr>
                <w:b w:val="0"/>
                <w:bCs w:val="0"/>
                <w:sz w:val="17"/>
                <w:szCs w:val="17"/>
              </w:rPr>
            </w:pPr>
            <w:r w:rsidRPr="00781450">
              <w:rPr>
                <w:b w:val="0"/>
                <w:bCs w:val="0"/>
                <w:sz w:val="17"/>
                <w:szCs w:val="17"/>
              </w:rPr>
              <w:t>USD 5.4bn</w:t>
            </w:r>
          </w:p>
        </w:tc>
        <w:tc>
          <w:tcPr>
            <w:tcW w:w="2555" w:type="dxa"/>
            <w:vAlign w:val="bottom"/>
          </w:tcPr>
          <w:p w14:paraId="758F1523" w14:textId="15BF4557" w:rsidR="00781450" w:rsidRPr="00781450" w:rsidRDefault="00781450" w:rsidP="0078145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781450">
              <w:rPr>
                <w:sz w:val="17"/>
                <w:szCs w:val="17"/>
              </w:rPr>
              <w:t>USD 5.7bn</w:t>
            </w:r>
          </w:p>
        </w:tc>
        <w:tc>
          <w:tcPr>
            <w:tcW w:w="2555" w:type="dxa"/>
            <w:vAlign w:val="bottom"/>
          </w:tcPr>
          <w:p w14:paraId="0D2AC4A6" w14:textId="63B73D16" w:rsidR="00781450" w:rsidRPr="00781450" w:rsidRDefault="00781450" w:rsidP="0078145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781450">
              <w:rPr>
                <w:sz w:val="17"/>
                <w:szCs w:val="17"/>
              </w:rPr>
              <w:t>USD 8.5bn</w:t>
            </w:r>
          </w:p>
        </w:tc>
        <w:tc>
          <w:tcPr>
            <w:tcW w:w="2555" w:type="dxa"/>
            <w:vAlign w:val="bottom"/>
          </w:tcPr>
          <w:p w14:paraId="3CC6BB31" w14:textId="1E15C35A" w:rsidR="00781450" w:rsidRPr="00781450" w:rsidRDefault="00781450" w:rsidP="0078145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781450">
              <w:rPr>
                <w:sz w:val="17"/>
                <w:szCs w:val="17"/>
              </w:rPr>
              <w:t>4.6%</w:t>
            </w:r>
          </w:p>
        </w:tc>
      </w:tr>
    </w:tbl>
    <w:p w14:paraId="38753AA9" w14:textId="77777777" w:rsidR="00781450" w:rsidRDefault="00781450">
      <w:pPr>
        <w:spacing w:after="160" w:line="259" w:lineRule="auto"/>
      </w:pPr>
    </w:p>
    <w:p w14:paraId="34928C8E" w14:textId="77777777" w:rsidR="008256D7" w:rsidRDefault="00000000">
      <w:pPr>
        <w:spacing w:before="160"/>
        <w:jc w:val="center"/>
      </w:pPr>
      <w:r>
        <w:rPr>
          <w:noProof/>
        </w:rPr>
        <w:drawing>
          <wp:inline distT="0" distB="0" distL="0" distR="0" wp14:anchorId="2520962A" wp14:editId="6E2D9D8D">
            <wp:extent cx="5669280" cy="2794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broader_market_foreca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FD1F" w14:textId="0384F13F" w:rsidR="008256D7" w:rsidRPr="001F3A17" w:rsidRDefault="00000000">
      <w:pPr>
        <w:spacing w:before="40" w:after="120" w:line="240" w:lineRule="auto"/>
        <w:jc w:val="center"/>
        <w:rPr>
          <w:lang w:val="en-GB"/>
        </w:rPr>
      </w:pPr>
      <w:r>
        <w:rPr>
          <w:i/>
          <w:color w:val="6B7280"/>
          <w:sz w:val="16"/>
        </w:rPr>
        <w:t>Figure 1. Broader European ophthalmic-lens external forecast. Scope includes spectacle lenses, contact lenses and IOLs</w:t>
      </w:r>
      <w:r w:rsidR="001F3A17" w:rsidRPr="001F3A17">
        <w:rPr>
          <w:i/>
          <w:color w:val="6B7280"/>
          <w:sz w:val="16"/>
          <w:lang w:val="en-GB"/>
        </w:rPr>
        <w:t>.</w:t>
      </w:r>
    </w:p>
    <w:p w14:paraId="73C990C9" w14:textId="77777777" w:rsidR="008256D7" w:rsidRDefault="00000000">
      <w:pPr>
        <w:keepNext/>
        <w:keepLines/>
        <w:spacing w:after="80" w:line="259" w:lineRule="auto"/>
      </w:pPr>
      <w:r>
        <w:rPr>
          <w:b/>
        </w:rPr>
        <w:t xml:space="preserve">Interpretation. </w:t>
      </w:r>
      <w:r>
        <w:t>The external forecast suggests that the wider ophthalmic category is not static, but the headline growth rate should not be used to claim a precise growth rate for European spectacle lenses. The more defensible portfolio conclusion comes from combining broader context with transparent country-level and competitor evidence.</w:t>
      </w:r>
    </w:p>
    <w:p w14:paraId="64797812" w14:textId="23004533" w:rsidR="00830445" w:rsidRDefault="00830445" w:rsidP="00830445">
      <w:r>
        <w:br w:type="page"/>
      </w:r>
    </w:p>
    <w:p w14:paraId="16C4590C" w14:textId="77777777" w:rsidR="008256D7" w:rsidRDefault="00000000">
      <w:pPr>
        <w:pStyle w:val="berschrift1"/>
        <w:spacing w:before="160" w:after="80"/>
      </w:pPr>
      <w:r>
        <w:lastRenderedPageBreak/>
        <w:t>4. Germany as a mature-market deep dive</w:t>
      </w:r>
    </w:p>
    <w:p w14:paraId="0598D5BD" w14:textId="77777777" w:rsidR="008256D7" w:rsidRDefault="00000000">
      <w:pPr>
        <w:spacing w:after="140" w:line="259" w:lineRule="auto"/>
      </w:pPr>
      <w:r>
        <w:t>Germany provides a useful example of a mature European optical market. ZVA data show a clear divergence between market value and physical volumes between 2022 and 2025.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1440"/>
        <w:gridCol w:w="1440"/>
        <w:gridCol w:w="1440"/>
        <w:gridCol w:w="1440"/>
      </w:tblGrid>
      <w:tr w:rsidR="008256D7" w14:paraId="44D792DE" w14:textId="77777777">
        <w:trPr>
          <w:cantSplit/>
          <w:jc w:val="center"/>
        </w:trPr>
        <w:tc>
          <w:tcPr>
            <w:tcW w:w="3240" w:type="dxa"/>
            <w:shd w:val="clear" w:color="auto" w:fill="17324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4C65DC" w14:textId="77777777" w:rsidR="008256D7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1440" w:type="dxa"/>
            <w:shd w:val="clear" w:color="auto" w:fill="17324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EC9D96" w14:textId="77777777" w:rsidR="008256D7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2022</w:t>
            </w:r>
          </w:p>
        </w:tc>
        <w:tc>
          <w:tcPr>
            <w:tcW w:w="1440" w:type="dxa"/>
            <w:shd w:val="clear" w:color="auto" w:fill="17324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665636" w14:textId="77777777" w:rsidR="008256D7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2023</w:t>
            </w:r>
          </w:p>
        </w:tc>
        <w:tc>
          <w:tcPr>
            <w:tcW w:w="1440" w:type="dxa"/>
            <w:shd w:val="clear" w:color="auto" w:fill="17324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0643D7" w14:textId="77777777" w:rsidR="008256D7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2024</w:t>
            </w:r>
          </w:p>
        </w:tc>
        <w:tc>
          <w:tcPr>
            <w:tcW w:w="1440" w:type="dxa"/>
            <w:shd w:val="clear" w:color="auto" w:fill="17324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654A13" w14:textId="77777777" w:rsidR="008256D7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2025</w:t>
            </w:r>
          </w:p>
        </w:tc>
      </w:tr>
      <w:tr w:rsidR="008256D7" w14:paraId="25B094D5" w14:textId="77777777">
        <w:trPr>
          <w:cantSplit/>
          <w:jc w:val="center"/>
        </w:trPr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2A31EE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Industry revenue (EUR bn)</w:t>
            </w:r>
          </w:p>
        </w:tc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CA44C9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6.688</w:t>
            </w:r>
          </w:p>
        </w:tc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BDBE3E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6.763</w:t>
            </w:r>
          </w:p>
        </w:tc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3827AB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6.975</w:t>
            </w:r>
          </w:p>
        </w:tc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56881D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7.025</w:t>
            </w:r>
          </w:p>
        </w:tc>
      </w:tr>
      <w:tr w:rsidR="008256D7" w14:paraId="2417F684" w14:textId="77777777">
        <w:trPr>
          <w:cantSplit/>
          <w:jc w:val="center"/>
        </w:trPr>
        <w:tc>
          <w:tcPr>
            <w:tcW w:w="3240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4A701F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Complete spectacles sold (m)</w:t>
            </w:r>
          </w:p>
        </w:tc>
        <w:tc>
          <w:tcPr>
            <w:tcW w:w="1440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BC0656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12.52</w:t>
            </w:r>
          </w:p>
        </w:tc>
        <w:tc>
          <w:tcPr>
            <w:tcW w:w="1440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4C1079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12.18</w:t>
            </w:r>
          </w:p>
        </w:tc>
        <w:tc>
          <w:tcPr>
            <w:tcW w:w="1440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20CCD9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12.00</w:t>
            </w:r>
          </w:p>
        </w:tc>
        <w:tc>
          <w:tcPr>
            <w:tcW w:w="1440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5F60F8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11.77</w:t>
            </w:r>
          </w:p>
        </w:tc>
      </w:tr>
      <w:tr w:rsidR="008256D7" w14:paraId="36A280D6" w14:textId="77777777">
        <w:trPr>
          <w:cantSplit/>
          <w:jc w:val="center"/>
        </w:trPr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58F96C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Spectacle lenses sold (m)</w:t>
            </w:r>
          </w:p>
        </w:tc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658B69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38.73</w:t>
            </w:r>
          </w:p>
        </w:tc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A2198D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37.74</w:t>
            </w:r>
          </w:p>
        </w:tc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BB3154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37.18</w:t>
            </w:r>
          </w:p>
        </w:tc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604E24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36.56</w:t>
            </w:r>
          </w:p>
        </w:tc>
      </w:tr>
      <w:tr w:rsidR="008256D7" w14:paraId="631059CC" w14:textId="77777777">
        <w:trPr>
          <w:cantSplit/>
          <w:jc w:val="center"/>
        </w:trPr>
        <w:tc>
          <w:tcPr>
            <w:tcW w:w="3240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356FB5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Optical retail locations</w:t>
            </w:r>
          </w:p>
        </w:tc>
        <w:tc>
          <w:tcPr>
            <w:tcW w:w="1440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0B1DB1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11,100</w:t>
            </w:r>
          </w:p>
        </w:tc>
        <w:tc>
          <w:tcPr>
            <w:tcW w:w="1440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7EC5D9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11,000</w:t>
            </w:r>
          </w:p>
        </w:tc>
        <w:tc>
          <w:tcPr>
            <w:tcW w:w="1440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78F8A9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10,820</w:t>
            </w:r>
          </w:p>
        </w:tc>
        <w:tc>
          <w:tcPr>
            <w:tcW w:w="1440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E85BA2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10,700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256D7" w14:paraId="3171EDE7" w14:textId="77777777">
        <w:trPr>
          <w:jc w:val="center"/>
        </w:trPr>
        <w:tc>
          <w:tcPr>
            <w:tcW w:w="50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5E5F64D" w14:textId="77777777" w:rsidR="00830445" w:rsidRDefault="00830445">
            <w:pPr>
              <w:jc w:val="center"/>
            </w:pPr>
          </w:p>
          <w:p w14:paraId="413CD8E3" w14:textId="77777777" w:rsidR="00830445" w:rsidRDefault="00830445">
            <w:pPr>
              <w:jc w:val="center"/>
            </w:pPr>
          </w:p>
          <w:p w14:paraId="0551E25F" w14:textId="2226B00E" w:rsidR="008256D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021152" wp14:editId="555F7498">
                  <wp:extent cx="2788920" cy="151678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port_germany_revenu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16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61AA1D" w14:textId="77777777" w:rsidR="00830445" w:rsidRDefault="00830445">
            <w:pPr>
              <w:jc w:val="center"/>
              <w:rPr>
                <w:noProof/>
              </w:rPr>
            </w:pPr>
          </w:p>
          <w:p w14:paraId="36C371E5" w14:textId="77777777" w:rsidR="00830445" w:rsidRDefault="00830445">
            <w:pPr>
              <w:jc w:val="center"/>
              <w:rPr>
                <w:noProof/>
              </w:rPr>
            </w:pPr>
          </w:p>
          <w:p w14:paraId="31660245" w14:textId="53C7E5B0" w:rsidR="008256D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08C415" wp14:editId="4D5743CD">
                  <wp:extent cx="2788920" cy="151826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port_germany_uni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18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C092C7" w14:textId="77777777" w:rsidR="008256D7" w:rsidRDefault="00000000">
      <w:pPr>
        <w:spacing w:before="40" w:after="120" w:line="240" w:lineRule="auto"/>
        <w:jc w:val="center"/>
      </w:pPr>
      <w:r>
        <w:rPr>
          <w:i/>
          <w:color w:val="6B7280"/>
          <w:sz w:val="16"/>
        </w:rPr>
        <w:t>Figures 2–3. German optical market development, 2022–2025. Revenue and unit sales are shown separately because they use different units.</w:t>
      </w:r>
    </w:p>
    <w:p w14:paraId="48CBD0A8" w14:textId="77777777" w:rsidR="008256D7" w:rsidRDefault="00000000">
      <w:pPr>
        <w:spacing w:after="100" w:line="259" w:lineRule="auto"/>
      </w:pPr>
      <w:r>
        <w:t>The pattern is consistent: sector revenue increased by about 5.0% over the period, while complete-spectacle volume declined by about 6.0%, spectacle-lens volume by about 5.6% and the number of retail locations by about 3.6%. This suggests that value development is more resilient than unit growth and increases the importance of product mix, premiumisation and differentiation.</w:t>
      </w:r>
    </w:p>
    <w:p w14:paraId="4E109A51" w14:textId="77777777" w:rsidR="008256D7" w:rsidRDefault="00000000">
      <w:pPr>
        <w:spacing w:after="80" w:line="259" w:lineRule="auto"/>
      </w:pPr>
      <w:r>
        <w:rPr>
          <w:b/>
        </w:rPr>
        <w:t xml:space="preserve">Market structure. </w:t>
      </w:r>
      <w:r>
        <w:t>In 2025, the ten largest German optical companies accounted for 55% of sector revenue, while online sales represented about 5%. For a premium lens manufacturer, this makes both key-account management and the in-store professional journey strategically important.</w:t>
      </w:r>
    </w:p>
    <w:p w14:paraId="6DFCF4BB" w14:textId="77777777" w:rsidR="008256D7" w:rsidRDefault="00000000">
      <w:r>
        <w:br w:type="page"/>
      </w:r>
    </w:p>
    <w:p w14:paraId="1C45ABF0" w14:textId="77777777" w:rsidR="008256D7" w:rsidRDefault="00000000">
      <w:pPr>
        <w:pStyle w:val="berschrift1"/>
        <w:spacing w:before="160" w:after="80"/>
      </w:pPr>
      <w:r>
        <w:lastRenderedPageBreak/>
        <w:t>5. Competitor benchmark</w:t>
      </w:r>
    </w:p>
    <w:p w14:paraId="37E1CF5C" w14:textId="77777777" w:rsidR="008256D7" w:rsidRDefault="00000000">
      <w:pPr>
        <w:spacing w:after="140" w:line="259" w:lineRule="auto"/>
      </w:pPr>
      <w:r>
        <w:t>The benchmark compares four major premium-lens competitors using public product and channel evidence. The purpose is to identify different competitive profiles, not to declare an overall winner.</w:t>
      </w:r>
    </w:p>
    <w:p w14:paraId="6CDCC699" w14:textId="77777777" w:rsidR="008256D7" w:rsidRDefault="00000000">
      <w:pPr>
        <w:pStyle w:val="berschrift2"/>
        <w:spacing w:before="100" w:after="80"/>
      </w:pPr>
      <w:r>
        <w:t>5.1 Product and technology evidence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232"/>
        <w:gridCol w:w="1440"/>
        <w:gridCol w:w="1655"/>
        <w:gridCol w:w="3024"/>
      </w:tblGrid>
      <w:tr w:rsidR="008256D7" w14:paraId="6C8C15F8" w14:textId="77777777">
        <w:trPr>
          <w:cantSplit/>
          <w:jc w:val="center"/>
        </w:trPr>
        <w:tc>
          <w:tcPr>
            <w:tcW w:w="1440" w:type="dxa"/>
            <w:shd w:val="clear" w:color="auto" w:fill="17324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BBD50A" w14:textId="77777777" w:rsidR="008256D7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Company</w:t>
            </w:r>
          </w:p>
        </w:tc>
        <w:tc>
          <w:tcPr>
            <w:tcW w:w="2232" w:type="dxa"/>
            <w:shd w:val="clear" w:color="auto" w:fill="17324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E8CB67" w14:textId="77777777" w:rsidR="008256D7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Personalisation example</w:t>
            </w:r>
          </w:p>
        </w:tc>
        <w:tc>
          <w:tcPr>
            <w:tcW w:w="1440" w:type="dxa"/>
            <w:shd w:val="clear" w:color="auto" w:fill="17324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D0287B" w14:textId="77777777" w:rsidR="008256D7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Pediatric myopia</w:t>
            </w:r>
          </w:p>
        </w:tc>
        <w:tc>
          <w:tcPr>
            <w:tcW w:w="1655" w:type="dxa"/>
            <w:shd w:val="clear" w:color="auto" w:fill="17324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ADA61E" w14:textId="77777777" w:rsidR="008256D7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Premium coating</w:t>
            </w:r>
          </w:p>
        </w:tc>
        <w:tc>
          <w:tcPr>
            <w:tcW w:w="3024" w:type="dxa"/>
            <w:shd w:val="clear" w:color="auto" w:fill="17324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CA7F8D" w14:textId="77777777" w:rsidR="008256D7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Core differentiation</w:t>
            </w:r>
          </w:p>
        </w:tc>
      </w:tr>
      <w:tr w:rsidR="008256D7" w14:paraId="1CBF95DE" w14:textId="77777777">
        <w:trPr>
          <w:cantSplit/>
          <w:jc w:val="center"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33AB73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Rodenstock</w:t>
            </w:r>
          </w:p>
        </w:tc>
        <w:tc>
          <w:tcPr>
            <w:tcW w:w="223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454B65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B.I.G. EXACT Sensitive</w:t>
            </w:r>
          </w:p>
        </w:tc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6A3BC2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MyCon 2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8341B0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Solitaire LayR</w:t>
            </w:r>
          </w:p>
        </w:tc>
        <w:tc>
          <w:tcPr>
            <w:tcW w:w="30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7BF054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Biometric eye model, visual sensitivity and DNEye-based measurement</w:t>
            </w:r>
          </w:p>
        </w:tc>
      </w:tr>
      <w:tr w:rsidR="008256D7" w14:paraId="2254459B" w14:textId="77777777">
        <w:trPr>
          <w:cantSplit/>
          <w:jc w:val="center"/>
        </w:trPr>
        <w:tc>
          <w:tcPr>
            <w:tcW w:w="1440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E526D5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Essilor</w:t>
            </w:r>
          </w:p>
        </w:tc>
        <w:tc>
          <w:tcPr>
            <w:tcW w:w="2232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0FBAA0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Varilux XR series</w:t>
            </w:r>
          </w:p>
        </w:tc>
        <w:tc>
          <w:tcPr>
            <w:tcW w:w="1440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779911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Stellest</w:t>
            </w:r>
          </w:p>
        </w:tc>
        <w:tc>
          <w:tcPr>
            <w:tcW w:w="1655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37EE47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Crizal Sapphire HR</w:t>
            </w:r>
          </w:p>
        </w:tc>
        <w:tc>
          <w:tcPr>
            <w:tcW w:w="3024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BCF01D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AI-supported progressive design and broad lens ecosystem</w:t>
            </w:r>
          </w:p>
        </w:tc>
      </w:tr>
      <w:tr w:rsidR="008256D7" w14:paraId="12BE6850" w14:textId="77777777">
        <w:trPr>
          <w:cantSplit/>
          <w:jc w:val="center"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FF0036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ZEISS Vision Care</w:t>
            </w:r>
          </w:p>
        </w:tc>
        <w:tc>
          <w:tcPr>
            <w:tcW w:w="223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B7D43B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Progressive ClearMind Individual 3</w:t>
            </w:r>
          </w:p>
        </w:tc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55D99E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ZEISS MyoCare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8A3161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DuraVision Plus Gold UV</w:t>
            </w:r>
          </w:p>
        </w:tc>
        <w:tc>
          <w:tcPr>
            <w:tcW w:w="30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952BCE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Anatomy/behaviour-based individualisation and premium optics positioning</w:t>
            </w:r>
          </w:p>
        </w:tc>
      </w:tr>
      <w:tr w:rsidR="008256D7" w14:paraId="4EADB199" w14:textId="77777777">
        <w:trPr>
          <w:cantSplit/>
          <w:jc w:val="center"/>
        </w:trPr>
        <w:tc>
          <w:tcPr>
            <w:tcW w:w="1440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B47CD0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HOYA Vision Care</w:t>
            </w:r>
          </w:p>
        </w:tc>
        <w:tc>
          <w:tcPr>
            <w:tcW w:w="2232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24F070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Hoyalux iD MySense</w:t>
            </w:r>
          </w:p>
        </w:tc>
        <w:tc>
          <w:tcPr>
            <w:tcW w:w="1440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28A6FF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MiYOSMART</w:t>
            </w:r>
          </w:p>
        </w:tc>
        <w:tc>
          <w:tcPr>
            <w:tcW w:w="1655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9B41DB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Hi-Vision Meiryo</w:t>
            </w:r>
          </w:p>
        </w:tc>
        <w:tc>
          <w:tcPr>
            <w:tcW w:w="3024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3A3FC8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Visual Sensory Intelligence, personalised progressives and strong myopia-management visibility</w:t>
            </w:r>
          </w:p>
        </w:tc>
      </w:tr>
    </w:tbl>
    <w:p w14:paraId="14B299BC" w14:textId="77777777" w:rsidR="00830445" w:rsidRDefault="00830445">
      <w:pPr>
        <w:spacing w:after="140" w:line="259" w:lineRule="auto"/>
        <w:rPr>
          <w:b/>
        </w:rPr>
      </w:pPr>
    </w:p>
    <w:p w14:paraId="78832188" w14:textId="02F539AF" w:rsidR="008256D7" w:rsidRDefault="00000000">
      <w:pPr>
        <w:spacing w:after="140" w:line="259" w:lineRule="auto"/>
      </w:pPr>
      <w:r>
        <w:rPr>
          <w:b/>
        </w:rPr>
        <w:t xml:space="preserve">Product takeaway. </w:t>
      </w:r>
      <w:r>
        <w:t>Personalisation is no longer unique as a category message: all four companies use richer individual inputs in premium lens design. Rodenstock therefore needs to defend the distinctiveness of its biometric depth rather than rely on the word “</w:t>
      </w:r>
      <w:proofErr w:type="spellStart"/>
      <w:r>
        <w:t>personalised</w:t>
      </w:r>
      <w:proofErr w:type="spellEnd"/>
      <w:r>
        <w:t>” alone.</w:t>
      </w:r>
    </w:p>
    <w:p w14:paraId="4FE48F38" w14:textId="77777777" w:rsidR="00830445" w:rsidRDefault="00830445">
      <w:pPr>
        <w:spacing w:after="140" w:line="259" w:lineRule="auto"/>
      </w:pPr>
    </w:p>
    <w:p w14:paraId="59AA4E46" w14:textId="77777777" w:rsidR="008256D7" w:rsidRDefault="00000000">
      <w:pPr>
        <w:pStyle w:val="berschrift2"/>
        <w:spacing w:before="100" w:after="80"/>
      </w:pPr>
      <w:r>
        <w:t>5.2 Channel model / reach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5"/>
        <w:gridCol w:w="4104"/>
        <w:gridCol w:w="4031"/>
      </w:tblGrid>
      <w:tr w:rsidR="008256D7" w14:paraId="005139D3" w14:textId="77777777">
        <w:trPr>
          <w:cantSplit/>
          <w:jc w:val="center"/>
        </w:trPr>
        <w:tc>
          <w:tcPr>
            <w:tcW w:w="1655" w:type="dxa"/>
            <w:shd w:val="clear" w:color="auto" w:fill="17324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89B49C" w14:textId="77777777" w:rsidR="008256D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Company</w:t>
            </w:r>
          </w:p>
        </w:tc>
        <w:tc>
          <w:tcPr>
            <w:tcW w:w="4104" w:type="dxa"/>
            <w:shd w:val="clear" w:color="auto" w:fill="17324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E2B511" w14:textId="77777777" w:rsidR="008256D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Public channel evidence</w:t>
            </w:r>
          </w:p>
        </w:tc>
        <w:tc>
          <w:tcPr>
            <w:tcW w:w="4031" w:type="dxa"/>
            <w:shd w:val="clear" w:color="auto" w:fill="17324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491256" w14:textId="77777777" w:rsidR="008256D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Analyst interpretation</w:t>
            </w:r>
          </w:p>
        </w:tc>
      </w:tr>
      <w:tr w:rsidR="008256D7" w14:paraId="685BC8B3" w14:textId="77777777">
        <w:trPr>
          <w:cantSplit/>
          <w:jc w:val="center"/>
        </w:trPr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23F931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Rodenstock</w:t>
            </w:r>
          </w:p>
        </w:tc>
        <w:tc>
          <w:tcPr>
            <w:tcW w:w="41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1BA6B7" w14:textId="7A97CEA6" w:rsidR="008256D7" w:rsidRPr="00830445" w:rsidRDefault="00830445">
            <w:pPr>
              <w:spacing w:after="0" w:line="240" w:lineRule="auto"/>
              <w:rPr>
                <w:lang w:val="en-GB"/>
              </w:rPr>
            </w:pPr>
            <w:r w:rsidRPr="00830445">
              <w:rPr>
                <w:color w:val="1F2937"/>
                <w:sz w:val="16"/>
              </w:rPr>
              <w:t>Sales offices and distribution partners in 85+ countries; distribution primarily through professional optical partners</w:t>
            </w:r>
          </w:p>
        </w:tc>
        <w:tc>
          <w:tcPr>
            <w:tcW w:w="40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D7A182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Broad international reach, but less direct vertical integration into retail than EssilorLuxottica</w:t>
            </w:r>
          </w:p>
        </w:tc>
      </w:tr>
      <w:tr w:rsidR="008256D7" w14:paraId="6AE67C73" w14:textId="77777777">
        <w:trPr>
          <w:cantSplit/>
          <w:jc w:val="center"/>
        </w:trPr>
        <w:tc>
          <w:tcPr>
            <w:tcW w:w="1655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2F5804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EssilorLuxottica</w:t>
            </w:r>
          </w:p>
        </w:tc>
        <w:tc>
          <w:tcPr>
            <w:tcW w:w="4104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5054E3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300,000+ optical partners, ~18,000 physical stores and 71 online platforms</w:t>
            </w:r>
          </w:p>
        </w:tc>
        <w:tc>
          <w:tcPr>
            <w:tcW w:w="4031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D57495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Most vertically integrated channel model in the comparison, spanning wholesale, proprietary retail and e-commerce</w:t>
            </w:r>
          </w:p>
        </w:tc>
      </w:tr>
      <w:tr w:rsidR="008256D7" w14:paraId="2F740EAF" w14:textId="77777777">
        <w:trPr>
          <w:cantSplit/>
          <w:jc w:val="center"/>
        </w:trPr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413F97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ZEISS Vision Care</w:t>
            </w:r>
          </w:p>
        </w:tc>
        <w:tc>
          <w:tcPr>
            <w:tcW w:w="41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31486B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450+ ZEISS Vision Centers in almost 50 countries, operated with independent eye-care professionals</w:t>
            </w:r>
          </w:p>
        </w:tc>
        <w:tc>
          <w:tcPr>
            <w:tcW w:w="40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B3EC11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Branded partner-led retail concept supported by a broad professional network</w:t>
            </w:r>
          </w:p>
        </w:tc>
      </w:tr>
      <w:tr w:rsidR="008256D7" w14:paraId="0C3AA2C4" w14:textId="77777777">
        <w:trPr>
          <w:cantSplit/>
          <w:jc w:val="center"/>
        </w:trPr>
        <w:tc>
          <w:tcPr>
            <w:tcW w:w="1655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64267F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HOYA Vision Care</w:t>
            </w:r>
          </w:p>
        </w:tc>
        <w:tc>
          <w:tcPr>
            <w:tcW w:w="4104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257E3A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Supplies lenses in 110 countries through 43 labs; sells to eye-care providers rather than directly to patients</w:t>
            </w:r>
          </w:p>
        </w:tc>
        <w:tc>
          <w:tcPr>
            <w:tcW w:w="4031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68315D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B2B-focused model with a large international lab and eye-care-provider network</w:t>
            </w:r>
          </w:p>
        </w:tc>
      </w:tr>
    </w:tbl>
    <w:p w14:paraId="4082F4D9" w14:textId="77777777" w:rsidR="008256D7" w:rsidRDefault="00000000">
      <w:r>
        <w:br w:type="page"/>
      </w:r>
    </w:p>
    <w:p w14:paraId="7AF7F2C8" w14:textId="77777777" w:rsidR="008256D7" w:rsidRDefault="00000000">
      <w:pPr>
        <w:pStyle w:val="berschrift1"/>
        <w:spacing w:before="160" w:after="80"/>
      </w:pPr>
      <w:r>
        <w:lastRenderedPageBreak/>
        <w:t>6. Market trends, Rodenstock position &amp; strategic implications</w:t>
      </w:r>
    </w:p>
    <w:p w14:paraId="1529ED94" w14:textId="77777777" w:rsidR="008256D7" w:rsidRDefault="00000000">
      <w:pPr>
        <w:spacing w:after="160" w:line="259" w:lineRule="auto"/>
      </w:pPr>
      <w:r>
        <w:t>The useful question is not whether Rodenstock already has a product in each trend. In several areas it does. The more relevant Market Intelligence question is how the external trend changes the value of Rodenstock's existing position and where a gap, risk or opportunity remains.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304"/>
        <w:gridCol w:w="2880"/>
        <w:gridCol w:w="2880"/>
      </w:tblGrid>
      <w:tr w:rsidR="008256D7" w14:paraId="43A59909" w14:textId="77777777">
        <w:trPr>
          <w:cantSplit/>
          <w:jc w:val="center"/>
        </w:trPr>
        <w:tc>
          <w:tcPr>
            <w:tcW w:w="1800" w:type="dxa"/>
            <w:shd w:val="clear" w:color="auto" w:fill="17324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8BF141" w14:textId="77777777" w:rsidR="008256D7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Trend</w:t>
            </w:r>
          </w:p>
        </w:tc>
        <w:tc>
          <w:tcPr>
            <w:tcW w:w="2304" w:type="dxa"/>
            <w:shd w:val="clear" w:color="auto" w:fill="17324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B2FDB8" w14:textId="77777777" w:rsidR="008256D7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Rodenstock current position</w:t>
            </w:r>
          </w:p>
        </w:tc>
        <w:tc>
          <w:tcPr>
            <w:tcW w:w="2880" w:type="dxa"/>
            <w:shd w:val="clear" w:color="auto" w:fill="17324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BC2AAC" w14:textId="77777777" w:rsidR="008256D7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Gap / opportunity</w:t>
            </w:r>
          </w:p>
        </w:tc>
        <w:tc>
          <w:tcPr>
            <w:tcW w:w="2880" w:type="dxa"/>
            <w:shd w:val="clear" w:color="auto" w:fill="17324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BDF67A" w14:textId="77777777" w:rsidR="008256D7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Strategic implication</w:t>
            </w:r>
          </w:p>
        </w:tc>
      </w:tr>
      <w:tr w:rsidR="008256D7" w14:paraId="712E7BE6" w14:textId="77777777">
        <w:trPr>
          <w:cantSplit/>
          <w:jc w:val="center"/>
        </w:trPr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ECCBA1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Ageing / presbyopia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4CC5C5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Strong progressive portfolio</w:t>
            </w:r>
          </w:p>
        </w:tc>
        <w:tc>
          <w:tcPr>
            <w:tcW w:w="28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4BC7B8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Demographics support long-term category relevance</w:t>
            </w:r>
          </w:p>
        </w:tc>
        <w:tc>
          <w:tcPr>
            <w:tcW w:w="28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39BDAC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Expand premium progressive value through comfort, adaptation and measurable wearer benefits</w:t>
            </w:r>
          </w:p>
        </w:tc>
      </w:tr>
      <w:tr w:rsidR="008256D7" w14:paraId="02AEF361" w14:textId="77777777">
        <w:trPr>
          <w:cantSplit/>
          <w:jc w:val="center"/>
        </w:trPr>
        <w:tc>
          <w:tcPr>
            <w:tcW w:w="1800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540FAE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Pediatric myopia management</w:t>
            </w:r>
          </w:p>
        </w:tc>
        <w:tc>
          <w:tcPr>
            <w:tcW w:w="2304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EA5A0D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MyCon 2</w:t>
            </w:r>
          </w:p>
        </w:tc>
        <w:tc>
          <w:tcPr>
            <w:tcW w:w="2880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8DAEBE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Strong competing platforms: Stellest, MiYOSMART and MyoCare</w:t>
            </w:r>
          </w:p>
        </w:tc>
        <w:tc>
          <w:tcPr>
            <w:tcW w:w="2880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7578FB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Strengthen clinical evidence, optician education and communication around MyCon 2</w:t>
            </w:r>
          </w:p>
        </w:tc>
      </w:tr>
      <w:tr w:rsidR="008256D7" w14:paraId="79CB6043" w14:textId="77777777">
        <w:trPr>
          <w:cantSplit/>
          <w:jc w:val="center"/>
        </w:trPr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BB7A94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Personalisation / data-driven design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5A24F0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B.I.G. EXACT + biometric positioning</w:t>
            </w:r>
          </w:p>
        </w:tc>
        <w:tc>
          <w:tcPr>
            <w:tcW w:w="28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47B2E5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Personalisation is common competitor language</w:t>
            </w:r>
          </w:p>
        </w:tc>
        <w:tc>
          <w:tcPr>
            <w:tcW w:w="28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A6A9C3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Differentiate biometric depth and prove wearer outcomes rather than relying only on the word 'personalised'</w:t>
            </w:r>
          </w:p>
        </w:tc>
      </w:tr>
      <w:tr w:rsidR="008256D7" w14:paraId="71B304ED" w14:textId="77777777">
        <w:trPr>
          <w:cantSplit/>
          <w:jc w:val="center"/>
        </w:trPr>
        <w:tc>
          <w:tcPr>
            <w:tcW w:w="1800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38D84D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Premium coatings</w:t>
            </w:r>
          </w:p>
        </w:tc>
        <w:tc>
          <w:tcPr>
            <w:tcW w:w="2304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CEB7B2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Solitaire LayR</w:t>
            </w:r>
          </w:p>
        </w:tc>
        <w:tc>
          <w:tcPr>
            <w:tcW w:w="2880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6A0A92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All major competitors offer strong premium coatings</w:t>
            </w:r>
          </w:p>
        </w:tc>
        <w:tc>
          <w:tcPr>
            <w:tcW w:w="2880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2453E3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Use coating as part of a broader premium proposition rather than as a stand-alone differentiation claim</w:t>
            </w:r>
          </w:p>
        </w:tc>
      </w:tr>
      <w:tr w:rsidR="008256D7" w14:paraId="089491C8" w14:textId="77777777">
        <w:trPr>
          <w:cantSplit/>
          <w:jc w:val="center"/>
        </w:trPr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D0F3A7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Retail concentration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203BBE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Partner-optician model</w:t>
            </w:r>
          </w:p>
        </w:tc>
        <w:tc>
          <w:tcPr>
            <w:tcW w:w="28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A0950E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Large accounts represent a substantial share of German sector revenue</w:t>
            </w:r>
          </w:p>
        </w:tc>
        <w:tc>
          <w:tcPr>
            <w:tcW w:w="28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831A4B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Adapt B2B propositions to large accounts and independent premium opticians</w:t>
            </w:r>
          </w:p>
        </w:tc>
      </w:tr>
      <w:tr w:rsidR="008256D7" w14:paraId="74D55784" w14:textId="77777777">
        <w:trPr>
          <w:cantSplit/>
          <w:jc w:val="center"/>
        </w:trPr>
        <w:tc>
          <w:tcPr>
            <w:tcW w:w="1800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A953AA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Online remains secondary</w:t>
            </w:r>
          </w:p>
        </w:tc>
        <w:tc>
          <w:tcPr>
            <w:tcW w:w="2304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FB6876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Strong professional / optician journey</w:t>
            </w:r>
          </w:p>
        </w:tc>
        <w:tc>
          <w:tcPr>
            <w:tcW w:w="2880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E3708E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Digital is more likely to complement consultation than replace it</w:t>
            </w:r>
          </w:p>
        </w:tc>
        <w:tc>
          <w:tcPr>
            <w:tcW w:w="2880" w:type="dxa"/>
            <w:shd w:val="clear" w:color="auto" w:fill="F3F6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61AA77" w14:textId="77777777" w:rsidR="008256D7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Use digital tools to support measurement, consultation and the in-store customer journey</w:t>
            </w:r>
          </w:p>
        </w:tc>
      </w:tr>
    </w:tbl>
    <w:p w14:paraId="3FB9B59E" w14:textId="77777777" w:rsidR="00830445" w:rsidRDefault="00830445">
      <w:pPr>
        <w:spacing w:after="80" w:line="259" w:lineRule="auto"/>
        <w:rPr>
          <w:b/>
          <w:lang w:val="ru-RU"/>
        </w:rPr>
      </w:pPr>
    </w:p>
    <w:p w14:paraId="378B5D50" w14:textId="07AAD4FD" w:rsidR="008256D7" w:rsidRDefault="00000000">
      <w:pPr>
        <w:spacing w:after="80" w:line="259" w:lineRule="auto"/>
        <w:rPr>
          <w:lang w:val="ru-RU"/>
        </w:rPr>
      </w:pPr>
      <w:r>
        <w:rPr>
          <w:b/>
        </w:rPr>
        <w:t xml:space="preserve">Overall implication. </w:t>
      </w:r>
      <w:r>
        <w:t>Rodenstock already participates in most of the important product themes. The strategic challenge is therefore less about entering missing categories and more about making its biometric differentiation provable, defending MyCon 2 against well-established myopia platforms, packaging coatings into a broader premium proposition and adapting commercial support to different optical-channel structures.</w:t>
      </w:r>
    </w:p>
    <w:p w14:paraId="10DB0916" w14:textId="77777777" w:rsidR="00830445" w:rsidRPr="00830445" w:rsidRDefault="00830445">
      <w:pPr>
        <w:spacing w:after="80" w:line="259" w:lineRule="auto"/>
        <w:rPr>
          <w:lang w:val="ru-RU"/>
        </w:rPr>
      </w:pPr>
    </w:p>
    <w:p w14:paraId="7887915D" w14:textId="77777777" w:rsidR="008256D7" w:rsidRDefault="00000000">
      <w:pPr>
        <w:pStyle w:val="berschrift1"/>
        <w:spacing w:before="160" w:after="80"/>
      </w:pPr>
      <w:r>
        <w:t>7. Limitations</w:t>
      </w:r>
    </w:p>
    <w:p w14:paraId="03E08BAF" w14:textId="77777777" w:rsidR="008256D7" w:rsidRDefault="00000000">
      <w:pPr>
        <w:pStyle w:val="Aufzhlungszeichen"/>
        <w:spacing w:after="40" w:line="254" w:lineRule="auto"/>
      </w:pPr>
      <w:r>
        <w:rPr>
          <w:b/>
          <w:sz w:val="19"/>
        </w:rPr>
        <w:t xml:space="preserve">Market-size scope. </w:t>
      </w:r>
      <w:r>
        <w:rPr>
          <w:sz w:val="19"/>
        </w:rPr>
        <w:t>The external GMI market estimate combines spectacle lenses, contact lenses and IOLs; it is not used as a precise spectacle-lens TAM.</w:t>
      </w:r>
    </w:p>
    <w:p w14:paraId="585B6575" w14:textId="77777777" w:rsidR="008256D7" w:rsidRDefault="00000000">
      <w:pPr>
        <w:pStyle w:val="Aufzhlungszeichen"/>
        <w:spacing w:after="40" w:line="254" w:lineRule="auto"/>
      </w:pPr>
      <w:r>
        <w:rPr>
          <w:b/>
          <w:sz w:val="19"/>
        </w:rPr>
        <w:t xml:space="preserve">Country comparability. </w:t>
      </w:r>
      <w:r>
        <w:rPr>
          <w:sz w:val="19"/>
        </w:rPr>
        <w:t>Germany is a transparent mature-market example, but European countries differ in reimbursement, retail structure, prescribing behaviour and channel mix.</w:t>
      </w:r>
    </w:p>
    <w:p w14:paraId="45500BC6" w14:textId="77777777" w:rsidR="008256D7" w:rsidRDefault="00000000">
      <w:pPr>
        <w:pStyle w:val="Aufzhlungszeichen"/>
        <w:spacing w:after="40" w:line="254" w:lineRule="auto"/>
      </w:pPr>
      <w:r>
        <w:rPr>
          <w:b/>
          <w:sz w:val="19"/>
        </w:rPr>
        <w:t xml:space="preserve">Product claims. </w:t>
      </w:r>
      <w:r>
        <w:rPr>
          <w:sz w:val="19"/>
        </w:rPr>
        <w:t>Official product pages are marketing sources. Claims are useful for mapping positioning and features but are not directly comparable when companies use different test methods.</w:t>
      </w:r>
    </w:p>
    <w:p w14:paraId="2AE095B4" w14:textId="77777777" w:rsidR="008256D7" w:rsidRDefault="00000000">
      <w:pPr>
        <w:pStyle w:val="Aufzhlungszeichen"/>
        <w:spacing w:after="40" w:line="254" w:lineRule="auto"/>
      </w:pPr>
      <w:r>
        <w:rPr>
          <w:b/>
          <w:sz w:val="19"/>
        </w:rPr>
        <w:t xml:space="preserve">Channel metrics. </w:t>
      </w:r>
      <w:r>
        <w:rPr>
          <w:sz w:val="19"/>
        </w:rPr>
        <w:t>Public channel data are reported in different units (countries, stores, partners, labs), so the report compares channel models descriptively rather than ranking them numerically.</w:t>
      </w:r>
    </w:p>
    <w:p w14:paraId="04DBEE04" w14:textId="77777777" w:rsidR="008256D7" w:rsidRDefault="00000000">
      <w:pPr>
        <w:pStyle w:val="Aufzhlungszeichen"/>
        <w:spacing w:after="40" w:line="254" w:lineRule="auto"/>
      </w:pPr>
      <w:r>
        <w:rPr>
          <w:b/>
          <w:sz w:val="19"/>
        </w:rPr>
        <w:t xml:space="preserve">No internal data. </w:t>
      </w:r>
      <w:r>
        <w:rPr>
          <w:sz w:val="19"/>
        </w:rPr>
        <w:t>A real company project would validate these findings with internal sales data, customer research, paid databases and account-level economics.</w:t>
      </w:r>
    </w:p>
    <w:p w14:paraId="0446B7D8" w14:textId="77777777" w:rsidR="008256D7" w:rsidRDefault="00000000">
      <w:r>
        <w:br w:type="page"/>
      </w:r>
    </w:p>
    <w:p w14:paraId="28078946" w14:textId="77777777" w:rsidR="008256D7" w:rsidRDefault="00000000">
      <w:pPr>
        <w:pStyle w:val="berschrift1"/>
        <w:spacing w:before="160" w:after="80"/>
      </w:pPr>
      <w:r>
        <w:lastRenderedPageBreak/>
        <w:t>8. Sources</w:t>
      </w:r>
    </w:p>
    <w:p w14:paraId="442A17EC" w14:textId="77777777" w:rsidR="008256D7" w:rsidRDefault="00000000">
      <w:pPr>
        <w:spacing w:after="40" w:line="240" w:lineRule="auto"/>
      </w:pPr>
      <w:r>
        <w:rPr>
          <w:b/>
          <w:sz w:val="17"/>
        </w:rPr>
        <w:t xml:space="preserve">[1] Global Market Insights – Europe Ophthalmic Lenses Market  </w:t>
      </w:r>
      <w:hyperlink r:id="rId11">
        <w:r>
          <w:rPr>
            <w:color w:val="2E75B6"/>
            <w:sz w:val="18"/>
          </w:rPr>
          <w:t>https://www.gminsights.c</w:t>
        </w:r>
        <w:r>
          <w:rPr>
            <w:color w:val="2E75B6"/>
            <w:sz w:val="18"/>
          </w:rPr>
          <w:t>o</w:t>
        </w:r>
        <w:r>
          <w:rPr>
            <w:color w:val="2E75B6"/>
            <w:sz w:val="18"/>
          </w:rPr>
          <w:t>m/industry-analysis/europe-ophthalmic-lenses-market</w:t>
        </w:r>
      </w:hyperlink>
    </w:p>
    <w:p w14:paraId="1DE49C3E" w14:textId="77777777" w:rsidR="008256D7" w:rsidRDefault="00000000">
      <w:pPr>
        <w:spacing w:after="40" w:line="240" w:lineRule="auto"/>
      </w:pPr>
      <w:r>
        <w:rPr>
          <w:b/>
          <w:sz w:val="17"/>
        </w:rPr>
        <w:t xml:space="preserve">[2] Eurostat – Demography of Europe 2026  </w:t>
      </w:r>
      <w:hyperlink r:id="rId12">
        <w:r>
          <w:rPr>
            <w:color w:val="2E75B6"/>
            <w:sz w:val="18"/>
          </w:rPr>
          <w:t>https://ec.europa.eu/eurostat/</w:t>
        </w:r>
        <w:r>
          <w:rPr>
            <w:color w:val="2E75B6"/>
            <w:sz w:val="18"/>
          </w:rPr>
          <w:t>w</w:t>
        </w:r>
        <w:r>
          <w:rPr>
            <w:color w:val="2E75B6"/>
            <w:sz w:val="18"/>
          </w:rPr>
          <w:t>eb/interactive-publications/demography-2026</w:t>
        </w:r>
      </w:hyperlink>
    </w:p>
    <w:p w14:paraId="664AB264" w14:textId="77777777" w:rsidR="008256D7" w:rsidRPr="00D10C3A" w:rsidRDefault="00000000">
      <w:pPr>
        <w:spacing w:after="40" w:line="240" w:lineRule="auto"/>
        <w:rPr>
          <w:lang w:val="de-DE"/>
        </w:rPr>
      </w:pPr>
      <w:r w:rsidRPr="00D10C3A">
        <w:rPr>
          <w:b/>
          <w:sz w:val="17"/>
          <w:lang w:val="de-DE"/>
        </w:rPr>
        <w:t xml:space="preserve">[3] ZVA – Branchenbericht 2025/2026  </w:t>
      </w:r>
      <w:hyperlink r:id="rId13">
        <w:r w:rsidRPr="00D10C3A">
          <w:rPr>
            <w:color w:val="2E75B6"/>
            <w:sz w:val="18"/>
            <w:lang w:val="de-DE"/>
          </w:rPr>
          <w:t>https://www.zva.de/news/zva-branchen</w:t>
        </w:r>
        <w:r w:rsidRPr="00D10C3A">
          <w:rPr>
            <w:color w:val="2E75B6"/>
            <w:sz w:val="18"/>
            <w:lang w:val="de-DE"/>
          </w:rPr>
          <w:t>b</w:t>
        </w:r>
        <w:r w:rsidRPr="00D10C3A">
          <w:rPr>
            <w:color w:val="2E75B6"/>
            <w:sz w:val="18"/>
            <w:lang w:val="de-DE"/>
          </w:rPr>
          <w:t>ericht-2025-2/</w:t>
        </w:r>
      </w:hyperlink>
    </w:p>
    <w:p w14:paraId="5AAA8530" w14:textId="77777777" w:rsidR="008256D7" w:rsidRPr="00D10C3A" w:rsidRDefault="00000000">
      <w:pPr>
        <w:spacing w:after="40" w:line="240" w:lineRule="auto"/>
        <w:rPr>
          <w:lang w:val="de-DE"/>
        </w:rPr>
      </w:pPr>
      <w:r w:rsidRPr="00D10C3A">
        <w:rPr>
          <w:b/>
          <w:sz w:val="17"/>
          <w:lang w:val="de-DE"/>
        </w:rPr>
        <w:t xml:space="preserve">[4] ZVA – Branchenbericht 2025/2026 PDF  </w:t>
      </w:r>
      <w:hyperlink r:id="rId14">
        <w:r w:rsidRPr="00D10C3A">
          <w:rPr>
            <w:color w:val="2E75B6"/>
            <w:sz w:val="18"/>
            <w:lang w:val="de-DE"/>
          </w:rPr>
          <w:t>https://www.zva.de/wp-content/upl</w:t>
        </w:r>
        <w:r w:rsidRPr="00D10C3A">
          <w:rPr>
            <w:color w:val="2E75B6"/>
            <w:sz w:val="18"/>
            <w:lang w:val="de-DE"/>
          </w:rPr>
          <w:t>o</w:t>
        </w:r>
        <w:r w:rsidRPr="00D10C3A">
          <w:rPr>
            <w:color w:val="2E75B6"/>
            <w:sz w:val="18"/>
            <w:lang w:val="de-DE"/>
          </w:rPr>
          <w:t>ads/ZVA-Branchenbericht-2025.pdf</w:t>
        </w:r>
      </w:hyperlink>
    </w:p>
    <w:p w14:paraId="5AC45AA0" w14:textId="77777777" w:rsidR="008256D7" w:rsidRDefault="00000000">
      <w:pPr>
        <w:spacing w:after="40" w:line="240" w:lineRule="auto"/>
      </w:pPr>
      <w:r>
        <w:rPr>
          <w:b/>
          <w:sz w:val="17"/>
        </w:rPr>
        <w:t xml:space="preserve">[5] Rodenstock – B.I.G. VISION / B.I.G. EXACT Sensitive  </w:t>
      </w:r>
      <w:hyperlink r:id="rId15">
        <w:r>
          <w:rPr>
            <w:color w:val="2E75B6"/>
            <w:sz w:val="18"/>
          </w:rPr>
          <w:t>https</w:t>
        </w:r>
        <w:r>
          <w:rPr>
            <w:color w:val="2E75B6"/>
            <w:sz w:val="18"/>
          </w:rPr>
          <w:t>:</w:t>
        </w:r>
        <w:r>
          <w:rPr>
            <w:color w:val="2E75B6"/>
            <w:sz w:val="18"/>
          </w:rPr>
          <w:t>//www.rodenstock.com/bigvision</w:t>
        </w:r>
      </w:hyperlink>
    </w:p>
    <w:p w14:paraId="39D5A450" w14:textId="77777777" w:rsidR="008256D7" w:rsidRDefault="00000000">
      <w:pPr>
        <w:spacing w:after="40" w:line="240" w:lineRule="auto"/>
      </w:pPr>
      <w:r>
        <w:rPr>
          <w:b/>
          <w:sz w:val="17"/>
        </w:rPr>
        <w:t xml:space="preserve">[6] Rodenstock – Children's lenses / MyCon 2  </w:t>
      </w:r>
      <w:hyperlink r:id="rId16">
        <w:r>
          <w:rPr>
            <w:color w:val="2E75B6"/>
            <w:sz w:val="18"/>
          </w:rPr>
          <w:t>https://www.r</w:t>
        </w:r>
        <w:r>
          <w:rPr>
            <w:color w:val="2E75B6"/>
            <w:sz w:val="18"/>
          </w:rPr>
          <w:t>o</w:t>
        </w:r>
        <w:r>
          <w:rPr>
            <w:color w:val="2E75B6"/>
            <w:sz w:val="18"/>
          </w:rPr>
          <w:t>denstock.com/lenses/childrens-lenses</w:t>
        </w:r>
      </w:hyperlink>
    </w:p>
    <w:p w14:paraId="540D5206" w14:textId="77777777" w:rsidR="008256D7" w:rsidRDefault="00000000">
      <w:pPr>
        <w:spacing w:after="40" w:line="240" w:lineRule="auto"/>
      </w:pPr>
      <w:r>
        <w:rPr>
          <w:b/>
          <w:sz w:val="17"/>
        </w:rPr>
        <w:t xml:space="preserve">[7] Rodenstock – Lens portfolio / Solitaire LayR  </w:t>
      </w:r>
      <w:hyperlink r:id="rId17">
        <w:r>
          <w:rPr>
            <w:color w:val="2E75B6"/>
            <w:sz w:val="18"/>
          </w:rPr>
          <w:t>https://www.rodenstock.</w:t>
        </w:r>
        <w:r>
          <w:rPr>
            <w:color w:val="2E75B6"/>
            <w:sz w:val="18"/>
          </w:rPr>
          <w:t>c</w:t>
        </w:r>
        <w:r>
          <w:rPr>
            <w:color w:val="2E75B6"/>
            <w:sz w:val="18"/>
          </w:rPr>
          <w:t>om/lenses</w:t>
        </w:r>
      </w:hyperlink>
    </w:p>
    <w:p w14:paraId="1E109C87" w14:textId="77777777" w:rsidR="008256D7" w:rsidRDefault="00000000">
      <w:pPr>
        <w:spacing w:after="40" w:line="240" w:lineRule="auto"/>
      </w:pPr>
      <w:r>
        <w:rPr>
          <w:b/>
          <w:sz w:val="17"/>
        </w:rPr>
        <w:t xml:space="preserve">[8] Rodenstock – company / channel footprint (85+ countries)  </w:t>
      </w:r>
      <w:hyperlink r:id="rId18">
        <w:r>
          <w:rPr>
            <w:color w:val="2E75B6"/>
            <w:sz w:val="18"/>
          </w:rPr>
          <w:t>https://www.rodensto</w:t>
        </w:r>
        <w:r>
          <w:rPr>
            <w:color w:val="2E75B6"/>
            <w:sz w:val="18"/>
          </w:rPr>
          <w:t>c</w:t>
        </w:r>
        <w:r>
          <w:rPr>
            <w:color w:val="2E75B6"/>
            <w:sz w:val="18"/>
          </w:rPr>
          <w:t>k.com/company/press/Awards_BIG-EXACT-Sensitive</w:t>
        </w:r>
      </w:hyperlink>
    </w:p>
    <w:p w14:paraId="7E51B38B" w14:textId="77777777" w:rsidR="008256D7" w:rsidRDefault="00000000">
      <w:pPr>
        <w:spacing w:after="40" w:line="240" w:lineRule="auto"/>
      </w:pPr>
      <w:r>
        <w:rPr>
          <w:b/>
          <w:sz w:val="17"/>
        </w:rPr>
        <w:t xml:space="preserve">[9] Essilor – Varilux XR series  </w:t>
      </w:r>
      <w:hyperlink r:id="rId19">
        <w:r>
          <w:rPr>
            <w:color w:val="2E75B6"/>
            <w:sz w:val="18"/>
          </w:rPr>
          <w:t>https://www.essil</w:t>
        </w:r>
        <w:r>
          <w:rPr>
            <w:color w:val="2E75B6"/>
            <w:sz w:val="18"/>
          </w:rPr>
          <w:t>o</w:t>
        </w:r>
        <w:r>
          <w:rPr>
            <w:color w:val="2E75B6"/>
            <w:sz w:val="18"/>
          </w:rPr>
          <w:t>r.com/us-en/products/varilux/varilux-xr-series/</w:t>
        </w:r>
      </w:hyperlink>
    </w:p>
    <w:p w14:paraId="1F61C6CC" w14:textId="77777777" w:rsidR="008256D7" w:rsidRDefault="00000000">
      <w:pPr>
        <w:spacing w:after="40" w:line="240" w:lineRule="auto"/>
      </w:pPr>
      <w:r>
        <w:rPr>
          <w:b/>
          <w:sz w:val="17"/>
        </w:rPr>
        <w:t xml:space="preserve">[10] Essilor – Stellest  </w:t>
      </w:r>
      <w:hyperlink r:id="rId20">
        <w:r>
          <w:rPr>
            <w:color w:val="2E75B6"/>
            <w:sz w:val="18"/>
          </w:rPr>
          <w:t>https://www.essi</w:t>
        </w:r>
        <w:r>
          <w:rPr>
            <w:color w:val="2E75B6"/>
            <w:sz w:val="18"/>
          </w:rPr>
          <w:t>l</w:t>
        </w:r>
        <w:r>
          <w:rPr>
            <w:color w:val="2E75B6"/>
            <w:sz w:val="18"/>
          </w:rPr>
          <w:t>or.com/us-en/products/stellest/</w:t>
        </w:r>
      </w:hyperlink>
    </w:p>
    <w:p w14:paraId="051437C9" w14:textId="77777777" w:rsidR="008256D7" w:rsidRDefault="00000000">
      <w:pPr>
        <w:spacing w:after="40" w:line="240" w:lineRule="auto"/>
      </w:pPr>
      <w:r>
        <w:rPr>
          <w:b/>
          <w:sz w:val="17"/>
        </w:rPr>
        <w:t xml:space="preserve">[11] Essilor – Crizal Sapphire HR  </w:t>
      </w:r>
      <w:hyperlink r:id="rId21">
        <w:r>
          <w:rPr>
            <w:color w:val="2E75B6"/>
            <w:sz w:val="18"/>
          </w:rPr>
          <w:t>https://www.ess</w:t>
        </w:r>
        <w:r>
          <w:rPr>
            <w:color w:val="2E75B6"/>
            <w:sz w:val="18"/>
          </w:rPr>
          <w:t>i</w:t>
        </w:r>
        <w:r>
          <w:rPr>
            <w:color w:val="2E75B6"/>
            <w:sz w:val="18"/>
          </w:rPr>
          <w:t>lor.com/in-en/products/crizal/crizal-sapphire-hr/</w:t>
        </w:r>
      </w:hyperlink>
    </w:p>
    <w:p w14:paraId="73ACCBEB" w14:textId="77777777" w:rsidR="008256D7" w:rsidRDefault="00000000">
      <w:pPr>
        <w:spacing w:after="40" w:line="240" w:lineRule="auto"/>
      </w:pPr>
      <w:r>
        <w:rPr>
          <w:b/>
          <w:sz w:val="17"/>
        </w:rPr>
        <w:t xml:space="preserve">[12] EssilorLuxottica – 2025 Annual Report  </w:t>
      </w:r>
      <w:hyperlink r:id="rId22">
        <w:r>
          <w:rPr>
            <w:color w:val="2E75B6"/>
            <w:sz w:val="18"/>
          </w:rPr>
          <w:t>https://www.essilorl</w:t>
        </w:r>
        <w:r>
          <w:rPr>
            <w:color w:val="2E75B6"/>
            <w:sz w:val="18"/>
          </w:rPr>
          <w:t>u</w:t>
        </w:r>
        <w:r>
          <w:rPr>
            <w:color w:val="2E75B6"/>
            <w:sz w:val="18"/>
          </w:rPr>
          <w:t>xottica.com/api/getCapContent/?download=false&amp;id=291040</w:t>
        </w:r>
      </w:hyperlink>
    </w:p>
    <w:p w14:paraId="4717F586" w14:textId="77777777" w:rsidR="008256D7" w:rsidRDefault="00000000">
      <w:pPr>
        <w:spacing w:after="40" w:line="240" w:lineRule="auto"/>
      </w:pPr>
      <w:r>
        <w:rPr>
          <w:b/>
          <w:sz w:val="17"/>
        </w:rPr>
        <w:t xml:space="preserve">[13] ZEISS – Progressive ClearMind  </w:t>
      </w:r>
      <w:hyperlink r:id="rId23">
        <w:r>
          <w:rPr>
            <w:color w:val="2E75B6"/>
            <w:sz w:val="18"/>
          </w:rPr>
          <w:t>https://www.zeiss.com/v</w:t>
        </w:r>
        <w:r>
          <w:rPr>
            <w:color w:val="2E75B6"/>
            <w:sz w:val="18"/>
          </w:rPr>
          <w:t>i</w:t>
        </w:r>
        <w:r>
          <w:rPr>
            <w:color w:val="2E75B6"/>
            <w:sz w:val="18"/>
          </w:rPr>
          <w:t>sion-care/en/need-new-lenses/clearmind-progressive-lenses.html</w:t>
        </w:r>
      </w:hyperlink>
    </w:p>
    <w:p w14:paraId="7D32F8F5" w14:textId="77777777" w:rsidR="008256D7" w:rsidRDefault="00000000">
      <w:pPr>
        <w:spacing w:after="40" w:line="240" w:lineRule="auto"/>
      </w:pPr>
      <w:r>
        <w:rPr>
          <w:b/>
          <w:sz w:val="17"/>
        </w:rPr>
        <w:t xml:space="preserve">[14] ZEISS – MyoCare  </w:t>
      </w:r>
      <w:hyperlink r:id="rId24">
        <w:r>
          <w:rPr>
            <w:color w:val="2E75B6"/>
            <w:sz w:val="18"/>
          </w:rPr>
          <w:t>https://www.zeiss.com/vision-care/e</w:t>
        </w:r>
        <w:r>
          <w:rPr>
            <w:color w:val="2E75B6"/>
            <w:sz w:val="18"/>
          </w:rPr>
          <w:t>n</w:t>
        </w:r>
        <w:r>
          <w:rPr>
            <w:color w:val="2E75B6"/>
            <w:sz w:val="18"/>
          </w:rPr>
          <w:t>/eye-care-professionals/lenses/lenses-for-every-need/lenses-to-manage-myopia-progression-in-children.html</w:t>
        </w:r>
      </w:hyperlink>
    </w:p>
    <w:p w14:paraId="2785C2B2" w14:textId="77777777" w:rsidR="008256D7" w:rsidRDefault="00000000">
      <w:pPr>
        <w:spacing w:after="40" w:line="240" w:lineRule="auto"/>
      </w:pPr>
      <w:r>
        <w:rPr>
          <w:b/>
          <w:sz w:val="17"/>
        </w:rPr>
        <w:t xml:space="preserve">[15] ZEISS – DuraVision Plus Gold UV  </w:t>
      </w:r>
      <w:hyperlink r:id="rId25">
        <w:r>
          <w:rPr>
            <w:color w:val="2E75B6"/>
            <w:sz w:val="18"/>
          </w:rPr>
          <w:t>https://ww</w:t>
        </w:r>
        <w:r>
          <w:rPr>
            <w:color w:val="2E75B6"/>
            <w:sz w:val="18"/>
          </w:rPr>
          <w:t>w</w:t>
        </w:r>
        <w:r>
          <w:rPr>
            <w:color w:val="2E75B6"/>
            <w:sz w:val="18"/>
          </w:rPr>
          <w:t>.zeiss.com/vision-care/en/eye-care-professionals/lenses/coatings-technologies/duravision-gold-uv.html</w:t>
        </w:r>
      </w:hyperlink>
    </w:p>
    <w:p w14:paraId="518AEB86" w14:textId="77777777" w:rsidR="008256D7" w:rsidRDefault="00000000">
      <w:pPr>
        <w:spacing w:after="40" w:line="240" w:lineRule="auto"/>
      </w:pPr>
      <w:r>
        <w:rPr>
          <w:b/>
          <w:sz w:val="17"/>
        </w:rPr>
        <w:t xml:space="preserve">[16] ZEISS – Vision Center channel model  </w:t>
      </w:r>
      <w:hyperlink r:id="rId26">
        <w:r>
          <w:rPr>
            <w:color w:val="2E75B6"/>
            <w:sz w:val="18"/>
          </w:rPr>
          <w:t>https://www.zei</w:t>
        </w:r>
        <w:r>
          <w:rPr>
            <w:color w:val="2E75B6"/>
            <w:sz w:val="18"/>
          </w:rPr>
          <w:t>s</w:t>
        </w:r>
        <w:r>
          <w:rPr>
            <w:color w:val="2E75B6"/>
            <w:sz w:val="18"/>
          </w:rPr>
          <w:t>s.com/vision-care/en/newsroom/vision-care-press-kits/zeiss-vision-center.html</w:t>
        </w:r>
      </w:hyperlink>
    </w:p>
    <w:p w14:paraId="597A4ABF" w14:textId="77777777" w:rsidR="008256D7" w:rsidRDefault="00000000">
      <w:pPr>
        <w:spacing w:after="40" w:line="240" w:lineRule="auto"/>
      </w:pPr>
      <w:r>
        <w:rPr>
          <w:b/>
          <w:sz w:val="17"/>
        </w:rPr>
        <w:t xml:space="preserve">[17] HOYA – Progressive lenses / Hoyalux iD MySense  </w:t>
      </w:r>
      <w:hyperlink r:id="rId27">
        <w:r>
          <w:rPr>
            <w:color w:val="2E75B6"/>
            <w:sz w:val="18"/>
          </w:rPr>
          <w:t>https://w</w:t>
        </w:r>
        <w:r>
          <w:rPr>
            <w:color w:val="2E75B6"/>
            <w:sz w:val="18"/>
          </w:rPr>
          <w:t>w</w:t>
        </w:r>
        <w:r>
          <w:rPr>
            <w:color w:val="2E75B6"/>
            <w:sz w:val="18"/>
          </w:rPr>
          <w:t>w.hoyavision.com/vision-products/progressive-lenses/</w:t>
        </w:r>
      </w:hyperlink>
    </w:p>
    <w:p w14:paraId="43925DC6" w14:textId="77777777" w:rsidR="008256D7" w:rsidRDefault="00000000">
      <w:pPr>
        <w:spacing w:after="40" w:line="240" w:lineRule="auto"/>
      </w:pPr>
      <w:r>
        <w:rPr>
          <w:b/>
          <w:sz w:val="17"/>
        </w:rPr>
        <w:t xml:space="preserve">[18] HOYA – MiYOSMART  </w:t>
      </w:r>
      <w:hyperlink r:id="rId28">
        <w:r>
          <w:rPr>
            <w:color w:val="2E75B6"/>
            <w:sz w:val="18"/>
          </w:rPr>
          <w:t>https://www.hoya</w:t>
        </w:r>
        <w:r>
          <w:rPr>
            <w:color w:val="2E75B6"/>
            <w:sz w:val="18"/>
          </w:rPr>
          <w:t>v</w:t>
        </w:r>
        <w:r>
          <w:rPr>
            <w:color w:val="2E75B6"/>
            <w:sz w:val="18"/>
          </w:rPr>
          <w:t>ision.com/de/produkte/miyosmart/</w:t>
        </w:r>
      </w:hyperlink>
    </w:p>
    <w:p w14:paraId="61244D58" w14:textId="77777777" w:rsidR="008256D7" w:rsidRDefault="00000000">
      <w:pPr>
        <w:spacing w:after="40" w:line="240" w:lineRule="auto"/>
      </w:pPr>
      <w:r>
        <w:rPr>
          <w:b/>
          <w:sz w:val="17"/>
        </w:rPr>
        <w:t xml:space="preserve">[19] HOYA – Hi-Vision Meiryo  </w:t>
      </w:r>
      <w:hyperlink r:id="rId29">
        <w:r>
          <w:rPr>
            <w:color w:val="2E75B6"/>
            <w:sz w:val="18"/>
          </w:rPr>
          <w:t>https://ww</w:t>
        </w:r>
        <w:r>
          <w:rPr>
            <w:color w:val="2E75B6"/>
            <w:sz w:val="18"/>
          </w:rPr>
          <w:t>w</w:t>
        </w:r>
        <w:r>
          <w:rPr>
            <w:color w:val="2E75B6"/>
            <w:sz w:val="18"/>
          </w:rPr>
          <w:t>.hoyavision.com/uk/vision-products/coatings/hi-vision-meiryo/</w:t>
        </w:r>
      </w:hyperlink>
    </w:p>
    <w:p w14:paraId="48B80FB2" w14:textId="77777777" w:rsidR="008256D7" w:rsidRDefault="00000000">
      <w:pPr>
        <w:spacing w:after="40" w:line="240" w:lineRule="auto"/>
      </w:pPr>
      <w:r>
        <w:rPr>
          <w:b/>
          <w:sz w:val="17"/>
        </w:rPr>
        <w:t xml:space="preserve">[20] HOYA Vision Care – FAQ / channel footprint  </w:t>
      </w:r>
      <w:hyperlink r:id="rId30">
        <w:r>
          <w:rPr>
            <w:color w:val="2E75B6"/>
            <w:sz w:val="18"/>
          </w:rPr>
          <w:t>https://ww</w:t>
        </w:r>
        <w:r>
          <w:rPr>
            <w:color w:val="2E75B6"/>
            <w:sz w:val="18"/>
          </w:rPr>
          <w:t>w</w:t>
        </w:r>
        <w:r>
          <w:rPr>
            <w:color w:val="2E75B6"/>
            <w:sz w:val="18"/>
          </w:rPr>
          <w:t>.hoyavision.com/en-us/newsroom/frequently-asked-question/</w:t>
        </w:r>
      </w:hyperlink>
    </w:p>
    <w:p w14:paraId="583EFAA0" w14:textId="77777777" w:rsidR="008256D7" w:rsidRDefault="00000000">
      <w:pPr>
        <w:spacing w:after="40" w:line="240" w:lineRule="auto"/>
      </w:pPr>
      <w:r>
        <w:rPr>
          <w:b/>
          <w:sz w:val="17"/>
        </w:rPr>
        <w:t xml:space="preserve">[21] PubMed – Analysing myopia in Europe: a comprehensive meta-analysis (2025)  </w:t>
      </w:r>
      <w:hyperlink r:id="rId31">
        <w:r>
          <w:rPr>
            <w:color w:val="2E75B6"/>
            <w:sz w:val="18"/>
          </w:rPr>
          <w:t>https://pubm</w:t>
        </w:r>
        <w:r>
          <w:rPr>
            <w:color w:val="2E75B6"/>
            <w:sz w:val="18"/>
          </w:rPr>
          <w:t>e</w:t>
        </w:r>
        <w:r>
          <w:rPr>
            <w:color w:val="2E75B6"/>
            <w:sz w:val="18"/>
          </w:rPr>
          <w:t>d.ncbi.nlm.nih.gov/41420781/</w:t>
        </w:r>
      </w:hyperlink>
    </w:p>
    <w:p w14:paraId="3FD9E485" w14:textId="6C5A2919" w:rsidR="008256D7" w:rsidRDefault="008256D7">
      <w:pPr>
        <w:spacing w:after="80" w:line="259" w:lineRule="auto"/>
      </w:pPr>
    </w:p>
    <w:sectPr w:rsidR="008256D7" w:rsidSect="00034616">
      <w:headerReference w:type="default" r:id="rId32"/>
      <w:footerReference w:type="default" r:id="rId33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81B35" w14:textId="77777777" w:rsidR="004D6A12" w:rsidRDefault="004D6A12">
      <w:pPr>
        <w:spacing w:after="0" w:line="240" w:lineRule="auto"/>
      </w:pPr>
      <w:r>
        <w:separator/>
      </w:r>
    </w:p>
  </w:endnote>
  <w:endnote w:type="continuationSeparator" w:id="0">
    <w:p w14:paraId="2B853651" w14:textId="77777777" w:rsidR="004D6A12" w:rsidRDefault="004D6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59F9E" w14:textId="77777777" w:rsidR="008256D7" w:rsidRDefault="00000000">
    <w:pPr>
      <w:pStyle w:val="Fuzeile"/>
      <w:jc w:val="center"/>
    </w:pPr>
    <w:r>
      <w:rPr>
        <w:color w:val="6B7280"/>
        <w:sz w:val="16"/>
      </w:rPr>
      <w:t xml:space="preserve">Portfolio </w:t>
    </w:r>
    <w:proofErr w:type="gramStart"/>
    <w:r>
      <w:rPr>
        <w:color w:val="6B7280"/>
        <w:sz w:val="16"/>
      </w:rPr>
      <w:t>case  |</w:t>
    </w:r>
    <w:proofErr w:type="gramEnd"/>
    <w:r>
      <w:rPr>
        <w:color w:val="6B7280"/>
        <w:sz w:val="16"/>
      </w:rPr>
      <w:t xml:space="preserve">  Public secondary </w:t>
    </w:r>
    <w:proofErr w:type="gramStart"/>
    <w:r>
      <w:rPr>
        <w:color w:val="6B7280"/>
        <w:sz w:val="16"/>
      </w:rPr>
      <w:t>research  |</w:t>
    </w:r>
    <w:proofErr w:type="gramEnd"/>
    <w:r>
      <w:rPr>
        <w:color w:val="6B7280"/>
        <w:sz w:val="16"/>
      </w:rPr>
      <w:t xml:space="preserve">  Data cut: September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C0D64" w14:textId="77777777" w:rsidR="004D6A12" w:rsidRDefault="004D6A12">
      <w:pPr>
        <w:spacing w:after="0" w:line="240" w:lineRule="auto"/>
      </w:pPr>
      <w:r>
        <w:separator/>
      </w:r>
    </w:p>
  </w:footnote>
  <w:footnote w:type="continuationSeparator" w:id="0">
    <w:p w14:paraId="0906568F" w14:textId="77777777" w:rsidR="004D6A12" w:rsidRDefault="004D6A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EFA45" w14:textId="77777777" w:rsidR="008256D7" w:rsidRDefault="00000000">
    <w:pPr>
      <w:pStyle w:val="Kopfzeile"/>
      <w:jc w:val="right"/>
    </w:pPr>
    <w:r>
      <w:rPr>
        <w:color w:val="6B7280"/>
        <w:sz w:val="17"/>
      </w:rPr>
      <w:t>European Optical Market &amp; Competitor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1353116">
    <w:abstractNumId w:val="8"/>
  </w:num>
  <w:num w:numId="2" w16cid:durableId="1150363288">
    <w:abstractNumId w:val="6"/>
  </w:num>
  <w:num w:numId="3" w16cid:durableId="289896021">
    <w:abstractNumId w:val="5"/>
  </w:num>
  <w:num w:numId="4" w16cid:durableId="2027637416">
    <w:abstractNumId w:val="4"/>
  </w:num>
  <w:num w:numId="5" w16cid:durableId="1940601444">
    <w:abstractNumId w:val="7"/>
  </w:num>
  <w:num w:numId="6" w16cid:durableId="1044018407">
    <w:abstractNumId w:val="3"/>
  </w:num>
  <w:num w:numId="7" w16cid:durableId="1666319547">
    <w:abstractNumId w:val="2"/>
  </w:num>
  <w:num w:numId="8" w16cid:durableId="1121412565">
    <w:abstractNumId w:val="1"/>
  </w:num>
  <w:num w:numId="9" w16cid:durableId="1355377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A17"/>
    <w:rsid w:val="0029639D"/>
    <w:rsid w:val="00326F90"/>
    <w:rsid w:val="003D262E"/>
    <w:rsid w:val="004D6A12"/>
    <w:rsid w:val="00781450"/>
    <w:rsid w:val="008256D7"/>
    <w:rsid w:val="00830445"/>
    <w:rsid w:val="00AA1D8D"/>
    <w:rsid w:val="00B47730"/>
    <w:rsid w:val="00BA2614"/>
    <w:rsid w:val="00BE473D"/>
    <w:rsid w:val="00CB0664"/>
    <w:rsid w:val="00D10C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A4076A"/>
  <w14:defaultImageDpi w14:val="300"/>
  <w15:docId w15:val="{FF6AD602-2EE6-4734-9942-0B81AE916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hAnsi="Aptos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24D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entabelle3Akzent1">
    <w:name w:val="List Table 3 Accent 1"/>
    <w:basedOn w:val="NormaleTabelle"/>
    <w:uiPriority w:val="48"/>
    <w:rsid w:val="00781450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zva.de/news/zva-branchenbericht-2025-2/" TargetMode="External"/><Relationship Id="rId18" Type="http://schemas.openxmlformats.org/officeDocument/2006/relationships/hyperlink" Target="https://www.rodenstock.com/company/press/Awards_BIG-EXACT-Sensitive" TargetMode="External"/><Relationship Id="rId26" Type="http://schemas.openxmlformats.org/officeDocument/2006/relationships/hyperlink" Target="https://www.zeiss.com/vision-care/en/newsroom/vision-care-press-kits/zeiss-vision-center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essilor.com/in-en/products/crizal/crizal-sapphire-hr/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ec.europa.eu/eurostat/web/interactive-publications/demography-2026" TargetMode="External"/><Relationship Id="rId17" Type="http://schemas.openxmlformats.org/officeDocument/2006/relationships/hyperlink" Target="https://www.rodenstock.com/lenses" TargetMode="External"/><Relationship Id="rId25" Type="http://schemas.openxmlformats.org/officeDocument/2006/relationships/hyperlink" Target="https://www.zeiss.com/vision-care/en/eye-care-professionals/lenses/coatings-technologies/duravision-gold-uv.html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rodenstock.com/lenses/childrens-lenses" TargetMode="External"/><Relationship Id="rId20" Type="http://schemas.openxmlformats.org/officeDocument/2006/relationships/hyperlink" Target="https://www.essilor.com/us-en/products/stellest/" TargetMode="External"/><Relationship Id="rId29" Type="http://schemas.openxmlformats.org/officeDocument/2006/relationships/hyperlink" Target="https://www.hoyavision.com/uk/vision-products/coatings/hi-vision-meiry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minsights.com/industry-analysis/europe-ophthalmic-lenses-market" TargetMode="External"/><Relationship Id="rId24" Type="http://schemas.openxmlformats.org/officeDocument/2006/relationships/hyperlink" Target="https://www.zeiss.com/vision-care/en/eye-care-professionals/lenses/lenses-for-every-need/lenses-to-manage-myopia-progression-in-children.html" TargetMode="External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www.rodenstock.com/bigvision" TargetMode="External"/><Relationship Id="rId23" Type="http://schemas.openxmlformats.org/officeDocument/2006/relationships/hyperlink" Target="https://www.zeiss.com/vision-care/en/need-new-lenses/clearmind-progressive-lenses.html" TargetMode="External"/><Relationship Id="rId28" Type="http://schemas.openxmlformats.org/officeDocument/2006/relationships/hyperlink" Target="https://www.hoyavision.com/de/produkte/miyosmart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essilor.com/us-en/products/varilux/varilux-xr-series/" TargetMode="External"/><Relationship Id="rId31" Type="http://schemas.openxmlformats.org/officeDocument/2006/relationships/hyperlink" Target="https://pubmed.ncbi.nlm.nih.gov/41420781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zva.de/wp-content/uploads/ZVA-Branchenbericht-2025.pdf" TargetMode="External"/><Relationship Id="rId22" Type="http://schemas.openxmlformats.org/officeDocument/2006/relationships/hyperlink" Target="https://www.essilorluxottica.com/api/getCapContent/?download=false&amp;id=291040" TargetMode="External"/><Relationship Id="rId27" Type="http://schemas.openxmlformats.org/officeDocument/2006/relationships/hyperlink" Target="https://www.hoyavision.com/vision-products/progressive-lenses/" TargetMode="External"/><Relationship Id="rId30" Type="http://schemas.openxmlformats.org/officeDocument/2006/relationships/hyperlink" Target="https://www.hoyavision.com/en-us/newsroom/frequently-asked-question/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1895</Words>
  <Characters>11945</Characters>
  <Application>Microsoft Office Word</Application>
  <DocSecurity>0</DocSecurity>
  <Lines>99</Lines>
  <Paragraphs>27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Ekaterina Kovru</cp:lastModifiedBy>
  <cp:revision>2</cp:revision>
  <dcterms:created xsi:type="dcterms:W3CDTF">2026-09-23T13:35:00Z</dcterms:created>
  <dcterms:modified xsi:type="dcterms:W3CDTF">2026-09-23T13:35:00Z</dcterms:modified>
  <cp:category/>
</cp:coreProperties>
</file>