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Supplementary Table 5. Global Mean Absolute Distances to Global Target and Benchmarks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Distances in original indicator units; positive = above benchmark.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Distance to Global Target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Distance to Global Benchmark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Distance to Regional Benchmark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Distance to Income Benchmark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NCD-Protect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Protective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Soft drink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US$/capita/year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-605.9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-257.1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Unhealthy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total renewable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change relative to 2000-2010 country average baseline, scaled to 0 = 100 for interpretability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kg/ha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 5-17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 of agriculture in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adequacy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total welfare of beneficiary households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kcal/day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↑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b w:val="true"/>
                <w:rFonts w:ascii="Calibri" w:hAnsi="Calibri"/>
                <w:sz w:val="20"/>
              </w:rPr>
              <w:t xml:space="preserve">Directional Distances:</w:t>
            </w:r>
            <w:r>
              <w:rPr>
                <w:rFonts w:ascii="Calibri" w:hAnsi="Calibri"/>
                <w:sz w:val="20"/>
              </w:rPr>
              <w:t xml:space="preserve"> Positive = global mean above target/benchmark; negative = below. For 'lower is better' (↓) indicators the signs are reversed.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2026-09-11T15:56:37Z</dcterms:created>
  <dcterms:modified xsi:type="dcterms:W3CDTF">2026-09-11T15:56:37Z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