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Supplementary Table 9. Current Mean Global % Change per Year and Challenge Categories</w:t>
      </w:r>
    </w:p>
    <w:p>
      <w:pPr>
        <w:spacing w:before="0" w:after="60"/>
        <w:keepNext/>
        <w:jc w:val="start"/>
        <w:pStyle w:val="caption"/>
      </w:pPr>
      <w:r>
        <w:rPr>
          <w:i/>
          <w:rFonts w:ascii="Calibri" w:hAnsi="Calibri"/>
          <w:sz w:val="20"/>
          <w:color w:val="333333"/>
        </w:rPr>
        <w:t xml:space="preserve">Challenge categories based on BAU CAGR projections to 2030 vs. targets/benchmarks.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Indicator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Direction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Mean Global CAGR (% per year)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On Target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Moderate Progress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Marginal Progress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Stagnation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Regression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Diets, Nutrition, and Health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Access to safe water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AB5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1DAB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B6C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5EA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Cannot afford healthy diet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AB5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1DAB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B6C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5EA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Experience food insecurity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AB5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1DAB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B6C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5EA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Fruit availability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AB5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1DAB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B6C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5EA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dietary diversity, child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AB5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1DAB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B6C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5EA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Prevalence of undernourishment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AB5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1DAB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B6C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5EA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Ultra-processed food sales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AB5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1DAB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B6C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5EA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Vegetable availability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AB5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1DAB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B6C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5EA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Zero fruits or vegetables, child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AB5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1DAB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B6C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5EA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Environment, Natural Resources, and Production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Agricultural water withdrawal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AB5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1DAB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B6C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5EA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Cropland change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AB5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1DAB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B6C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5EA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Emissions intensity, beef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AB5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1DAB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B6C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5EA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Emissions intensity, 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AB5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1DAB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B6C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5EA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Emissions intensity, rice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AB5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1DAB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B6C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5EA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system emissions change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AB5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1DAB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B6C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5EA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Nitrogen use efficiency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AB5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1DAB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B6C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5EA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Pesticide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AB5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1DAB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B6C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5EA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Governance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Civil society participation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AB5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1DAB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B6C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5EA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safety capacity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AB5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1DAB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B6C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5EA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Government accountability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AB5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1DAB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B6C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5EA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Government effectiveness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AB5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1DAB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B6C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5EA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Open budget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AB5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1DAB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B6C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5EA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Livelihoods, Poverty, and Equity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 landholdings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AB5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1DAB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B6C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5EA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Rural underemployment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AB5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1DAB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B6C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5EA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Rural unemployment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AB5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1DAB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B6C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5EA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protection adequacy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AB5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1DAB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B6C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5EA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protection coverage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AB5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1DAB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B6C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5EA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Resilience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Dietary sourcing flexibility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AB5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1DAB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B6C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5EA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price volatility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AB5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1DAB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B6C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5EA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supply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AB5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1DAB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B6C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5EA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Mobile phones per 100 people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AB5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1DAB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B6C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5EA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Reduced coping strategies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AB5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1DAB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B6C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5EA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capital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AB5D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1DAB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B6C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5EA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2026-09-11T15:58:00Z</dcterms:created>
  <dcterms:modified xsi:type="dcterms:W3CDTF">2026-09-11T15:58:00Z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