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9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Coef.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val.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merge1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95% Conf. Int.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merge2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direction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Trend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Countries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merge3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years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Cost of healthy diet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Fruit 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Vegetable 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Ultra-processed food sales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Access to safe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Experience food insecurity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Cannot afford healthy diet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Prevalence of undernourishment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beef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cereals (excl. rice)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milk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Emissions intensity, 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system emissions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system emissions per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beef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cereals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fruit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milk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Yield, vegetables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Cropland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</w:tr>
      <w:tr>
        <w:trPr>
          <w:trHeight w:val="59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Agricultural water withdrawal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</w:tr>
      <w:tr>
        <w:trPr>
          <w:trHeight w:val="59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Functional integrity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</w:tr>
      <w:tr>
        <w:trPr>
          <w:trHeight w:val="59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Pesticide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Nitrogen use efficiency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Share of agriculture in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underemployment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</w:tr>
      <w:tr>
        <w:trPr>
          <w:trHeight w:val="59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Rural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</w:tr>
      <w:tr>
        <w:trPr>
          <w:trHeight w:val="59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Civil society participation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system pathway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9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Milan urban food policy pact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93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safety capacity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</w:tr>
      <w:tr>
        <w:trPr>
          <w:trHeight w:val="593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Government effectiveness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Access to information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93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Government accountability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Open budget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</w:tr>
      <w:tr>
        <w:trPr>
          <w:trHeight w:val="593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Disaster damages share of 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Conservation of genetic resources, plants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</w:tr>
      <w:tr>
        <w:trPr>
          <w:trHeight w:val="593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Conservation of genetic resources, animals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93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species diversity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trHeight w:val="593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Dietary sourcing flexibility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</w:tr>
      <w:tr>
        <w:trPr>
          <w:trHeight w:val="593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Mobile phones per 100 people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3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Social capital 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</w:tr>
      <w:tr>
        <w:trPr>
          <w:trHeight w:val="593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supply variability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Desirable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body44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Food price volatility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change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2026-01-27T11:20:36Z</dcterms:modified>
  <cp:category/>
</cp:coreProperties>
</file>