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val.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merge1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Conf. Int.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merge2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direction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Countries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merge3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years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 of healthy diet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Fruit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Vegetable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Ultra-processed food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safe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 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Cannot afford healthy diet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Prevalence of undernourishment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cereals (excl. rice)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Emissions intensity, 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system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cereals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fruit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Cropland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Agricultural water withdrawal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Pesticide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Nitrogen use efficiency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 of agriculture in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 underemployment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Civil society participation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system pathway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Milan urban food policy 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safety capacity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 effectiveness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 accountability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Open budget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Disaster damages share of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 of genetic resources,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 of genetic resources,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Minimum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Dietary sourcing flexibility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4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Mobile phones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5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Social capital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supply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price volatility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Undesirable change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2026-01-13T13:38:03Z</dcterms:modified>
  <cp:category/>
</cp:coreProperties>
</file>