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52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AGENT PRIDE — AI-SAFARI CAPSTONE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B2DADA"/>
                <w:sz w:val="18"/>
                <w:szCs w:val="18"/>
              </w:rPr>
              <w:t xml:space="preserve">Executive Impact Brief  |  Confidential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73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 REVIEW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6E6E" w:sz="6" w:space="1"/>
        </w:pBd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48"/>
                <w:szCs w:val="48"/>
              </w:rPr>
              <w:t xml:space="preserve">37%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Projected increase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in female vendor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loan approvals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48"/>
                <w:szCs w:val="48"/>
              </w:rPr>
              <w:t xml:space="preserve">&lt;3%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Portfolio default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risk maintained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across all tiers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48"/>
                <w:szCs w:val="48"/>
              </w:rPr>
              <w:t xml:space="preserve">5-Node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AI pipeline with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full compliance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audit trail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48"/>
                <w:szCs w:val="48"/>
              </w:rPr>
              <w:t xml:space="preserve">100%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PII-sanitised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before agent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processing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Executive Summary</w:t>
      </w:r>
    </w:p>
    <w:p>
      <w:pPr>
        <w:pBdr>
          <w:bottom w:val="single" w:color="B2DADA" w:sz="4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 Pride is a production-deployed, five-node AI pipeline that transforms raw M-Pesa behavioural telemetry into compliant, personalised asset allocation strategies — without ever exposing customer PII to a language model. Deployed on Render with a PostgreSQL audit ledger, the system processes a full recommendation cycle in under three minutes while maintaining a blended portfolio default risk below 3%.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system's core equity thesis is financial inclusion: by replacing discretionary loan officer judgement with a deterministic risk-scoring engine and AI-driven market matching, Agent Pride is projected to increase female vendor loan approvals by 37% — closing a persistent gender gap in Kenyan SME credit access while holding default risk within the &lt;3% regulatory threshold required by CMA-compliant fund managers.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Pipeline Architecture</w:t>
      </w:r>
    </w:p>
    <w:p>
      <w:pPr>
        <w:pBdr>
          <w:bottom w:val="single" w:color="B2DADA" w:sz="4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1</w:t>
            </w:r>
          </w:p>
        </w:tc>
        <w:tc>
          <w:tcPr>
            <w:tcW w:type="dxa" w:w="1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Watering Hole</w:t>
            </w:r>
          </w:p>
        </w:tc>
        <w:tc>
          <w:tcPr>
            <w:tcW w:type="dxa" w:w="66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PII sanitisation &amp; anonymised telemetry ingestion</w:t>
            </w:r>
          </w:p>
        </w:tc>
      </w:tr>
      <w:tr>
        <w:tc>
          <w:tcPr>
            <w:tcW w:type="dxa" w:w="9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2</w:t>
            </w:r>
          </w:p>
        </w:tc>
        <w:tc>
          <w:tcPr>
            <w:tcW w:type="dxa" w:w="1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Trail Finder</w:t>
            </w:r>
          </w:p>
        </w:tc>
        <w:tc>
          <w:tcPr>
            <w:tcW w:type="dxa" w:w="66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Deterministic behavioural classification engine</w:t>
            </w:r>
          </w:p>
        </w:tc>
      </w:tr>
      <w:tr>
        <w:tc>
          <w:tcPr>
            <w:tcW w:type="dxa" w:w="9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3</w:t>
            </w:r>
          </w:p>
        </w:tc>
        <w:tc>
          <w:tcPr>
            <w:tcW w:type="dxa" w:w="1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Hunt Catalyst</w:t>
            </w:r>
          </w:p>
        </w:tc>
        <w:tc>
          <w:tcPr>
            <w:tcW w:type="dxa" w:w="66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CrewAI dual-agent market analysis &amp; allocation</w:t>
            </w:r>
          </w:p>
        </w:tc>
      </w:tr>
      <w:tr>
        <w:tc>
          <w:tcPr>
            <w:tcW w:type="dxa" w:w="9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4</w:t>
            </w:r>
          </w:p>
        </w:tc>
        <w:tc>
          <w:tcPr>
            <w:tcW w:type="dxa" w:w="1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Rank Sentinel</w:t>
            </w:r>
          </w:p>
        </w:tc>
        <w:tc>
          <w:tcPr>
            <w:tcW w:type="dxa" w:w="66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guardrails (default risk, yield, leverage)</w:t>
            </w:r>
          </w:p>
        </w:tc>
      </w:tr>
      <w:tr>
        <w:tc>
          <w:tcPr>
            <w:tcW w:type="dxa" w:w="9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5</w:t>
            </w:r>
          </w:p>
        </w:tc>
        <w:tc>
          <w:tcPr>
            <w:tcW w:type="dxa" w:w="1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18"/>
                <w:szCs w:val="18"/>
              </w:rPr>
              <w:t xml:space="preserve">Guardian Agent</w:t>
            </w:r>
          </w:p>
        </w:tc>
        <w:tc>
          <w:tcPr>
            <w:tcW w:type="dxa" w:w="66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audit ledger &amp; WebSocket notification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Impact Projections &amp; Performance Targets</w:t>
      </w:r>
    </w:p>
    <w:p>
      <w:pPr>
        <w:pBdr>
          <w:bottom w:val="single" w:color="B2DADA" w:sz="4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2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2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Pride Target</w:t>
            </w:r>
          </w:p>
        </w:tc>
        <w:tc>
          <w:tcPr>
            <w:tcW w:type="dxa" w:w="26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0D6E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Benchmark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Female Vendor Loan Approvals</w:t>
            </w:r>
          </w:p>
        </w:tc>
        <w:tc>
          <w:tcPr>
            <w:tcW w:type="dxa" w:w="17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~41%</w:t>
            </w:r>
          </w:p>
        </w:tc>
        <w:tc>
          <w:tcPr>
            <w:tcW w:type="dxa" w:w="22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18"/>
                <w:szCs w:val="18"/>
              </w:rPr>
              <w:t xml:space="preserve">56%+ (+37%)</w:t>
            </w:r>
          </w:p>
        </w:tc>
        <w:tc>
          <w:tcPr>
            <w:tcW w:type="dxa" w:w="26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48% (Kenya FSP avg)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Portfolio Default Risk</w:t>
            </w:r>
          </w:p>
        </w:tc>
        <w:tc>
          <w:tcPr>
            <w:tcW w:type="dxa" w:w="17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4.2%</w:t>
            </w:r>
          </w:p>
        </w:tc>
        <w:tc>
          <w:tcPr>
            <w:tcW w:type="dxa" w:w="22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18"/>
                <w:szCs w:val="18"/>
              </w:rPr>
              <w:t xml:space="preserve">&lt;3.0%</w:t>
            </w:r>
          </w:p>
        </w:tc>
        <w:tc>
          <w:tcPr>
            <w:tcW w:type="dxa" w:w="26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Allocation Decision Time</w:t>
            </w:r>
          </w:p>
        </w:tc>
        <w:tc>
          <w:tcPr>
            <w:tcW w:type="dxa" w:w="17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 business days</w:t>
            </w:r>
          </w:p>
        </w:tc>
        <w:tc>
          <w:tcPr>
            <w:tcW w:type="dxa" w:w="22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18"/>
                <w:szCs w:val="18"/>
              </w:rPr>
              <w:t xml:space="preserve">&lt;2 minutes</w:t>
            </w:r>
          </w:p>
        </w:tc>
        <w:tc>
          <w:tcPr>
            <w:tcW w:type="dxa" w:w="26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Same day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PII Exposure Incidents</w:t>
            </w:r>
          </w:p>
        </w:tc>
        <w:tc>
          <w:tcPr>
            <w:tcW w:type="dxa" w:w="17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Untracked</w:t>
            </w:r>
          </w:p>
        </w:tc>
        <w:tc>
          <w:tcPr>
            <w:tcW w:type="dxa" w:w="22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18"/>
                <w:szCs w:val="18"/>
              </w:rPr>
              <w:t xml:space="preserve">Zero (by design)</w:t>
            </w:r>
          </w:p>
        </w:tc>
        <w:tc>
          <w:tcPr>
            <w:tcW w:type="dxa" w:w="26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8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Compliance Audit Coverage</w:t>
            </w:r>
          </w:p>
        </w:tc>
        <w:tc>
          <w:tcPr>
            <w:tcW w:type="dxa" w:w="17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sampling</w:t>
            </w:r>
          </w:p>
        </w:tc>
        <w:tc>
          <w:tcPr>
            <w:tcW w:type="dxa" w:w="226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6E6E"/>
                <w:sz w:val="18"/>
                <w:szCs w:val="18"/>
              </w:rPr>
              <w:t xml:space="preserve">100% automated</w:t>
            </w:r>
          </w:p>
        </w:tc>
        <w:tc>
          <w:tcPr>
            <w:tcW w:type="dxa" w:w="2600"/>
            <w:tcBorders>
              <w:top w:val="single" w:color="D1E8E8" w:sz="1"/>
              <w:left w:val="single" w:color="D1E8E8" w:sz="1"/>
              <w:bottom w:val="single" w:color="D1E8E8" w:sz="1"/>
              <w:right w:val="single" w:color="D1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~60%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Risk &amp; Compliance Framework</w:t>
      </w:r>
    </w:p>
    <w:p>
      <w:pPr>
        <w:pBdr>
          <w:bottom w:val="single" w:color="B2DADA" w:sz="4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Rank Sentinel (Node 4) enforces five non-negotiable guardrails on every recommendation set before it reaches a customer or is persisted to the audit ledger:</w:t>
      </w:r>
    </w:p>
    <w:p>
      <w:pPr>
        <w:pStyle w:val="ListParagraph"/>
        <w:numPr>
          <w:ilvl w:val="0"/>
          <w:numId w:val="2"/>
        </w:numPr>
        <w:spacing w:after="0" w:before="60"/>
      </w:pPr>
      <w:r>
        <w:rPr>
          <w:rFonts w:ascii="Arial" w:cs="Arial" w:eastAsia="Arial" w:hAnsi="Arial"/>
          <w:b/>
          <w:bCs/>
          <w:color w:val="0D6E6E"/>
          <w:sz w:val="18"/>
          <w:szCs w:val="18"/>
        </w:rPr>
        <w:t xml:space="preserve">RULE_DR_001: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Blended portfolio default risk must remain below 3.0%</w:t>
      </w:r>
    </w:p>
    <w:p>
      <w:pPr>
        <w:pStyle w:val="ListParagraph"/>
        <w:numPr>
          <w:ilvl w:val="0"/>
          <w:numId w:val="2"/>
        </w:numPr>
        <w:spacing w:after="0" w:before="60"/>
      </w:pPr>
      <w:r>
        <w:rPr>
          <w:rFonts w:ascii="Arial" w:cs="Arial" w:eastAsia="Arial" w:hAnsi="Arial"/>
          <w:b/>
          <w:bCs/>
          <w:color w:val="0D6E6E"/>
          <w:sz w:val="18"/>
          <w:szCs w:val="18"/>
        </w:rPr>
        <w:t xml:space="preserve">RULE_LV_002: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Maximum instrument leverage ratio capped at 2.0x</w:t>
      </w:r>
    </w:p>
    <w:p>
      <w:pPr>
        <w:pStyle w:val="ListParagraph"/>
        <w:numPr>
          <w:ilvl w:val="0"/>
          <w:numId w:val="2"/>
        </w:numPr>
        <w:spacing w:after="0" w:before="60"/>
      </w:pPr>
      <w:r>
        <w:rPr>
          <w:rFonts w:ascii="Arial" w:cs="Arial" w:eastAsia="Arial" w:hAnsi="Arial"/>
          <w:b/>
          <w:bCs/>
          <w:color w:val="0D6E6E"/>
          <w:sz w:val="18"/>
          <w:szCs w:val="18"/>
        </w:rPr>
        <w:t xml:space="preserve">RULE_SA_003: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No single asset class may exceed 60% portfolio concentration</w:t>
      </w:r>
    </w:p>
    <w:p>
      <w:pPr>
        <w:pStyle w:val="ListParagraph"/>
        <w:numPr>
          <w:ilvl w:val="0"/>
          <w:numId w:val="2"/>
        </w:numPr>
        <w:spacing w:after="0" w:before="60"/>
      </w:pPr>
      <w:r>
        <w:rPr>
          <w:rFonts w:ascii="Arial" w:cs="Arial" w:eastAsia="Arial" w:hAnsi="Arial"/>
          <w:b/>
          <w:bCs/>
          <w:color w:val="0D6E6E"/>
          <w:sz w:val="18"/>
          <w:szCs w:val="18"/>
        </w:rPr>
        <w:t xml:space="preserve">RULE_YC_004: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Yield claims above 25% flagged as hallucination and rejected</w:t>
      </w:r>
    </w:p>
    <w:p>
      <w:pPr>
        <w:pStyle w:val="ListParagraph"/>
        <w:numPr>
          <w:ilvl w:val="0"/>
          <w:numId w:val="2"/>
        </w:numPr>
        <w:spacing w:after="0" w:before="60"/>
      </w:pPr>
      <w:r>
        <w:rPr>
          <w:rFonts w:ascii="Arial" w:cs="Arial" w:eastAsia="Arial" w:hAnsi="Arial"/>
          <w:b/>
          <w:bCs/>
          <w:color w:val="0D6E6E"/>
          <w:sz w:val="18"/>
          <w:szCs w:val="18"/>
        </w:rPr>
        <w:t xml:space="preserve">RULE_YF_005: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Zero-return allocations (&lt;0.5% yield) rejected as suspect</w:t>
      </w:r>
    </w:p>
    <w:p>
      <w:pPr>
        <w:spacing w:after="0" w:before="12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violation triggers a safe-harbour fallback to a 100% CIC Money Market Fund allocation, ensuring no non-compliant recommendation ever reaches a customer. Every pipeline execution is recorded in an immutable PostgreSQL ledger with SHA-256 payload checksum for tamper detection.</w:t>
      </w:r>
    </w:p>
    <w:p>
      <w:pPr>
        <w:spacing w:after="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6E6E"/>
          <w:sz w:val="28"/>
          <w:szCs w:val="28"/>
        </w:rPr>
        <w:t xml:space="preserve">Board Recommendation</w:t>
      </w:r>
    </w:p>
    <w:p>
      <w:pPr>
        <w:pBdr>
          <w:bottom w:val="single" w:color="B2DADA" w:sz="4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73A" w:sz="8"/>
              <w:left w:val="single" w:color="C8973A" w:sz="4"/>
              <w:bottom w:val="single" w:color="C8973A" w:sz="4"/>
              <w:right w:val="single" w:color="C8973A" w:sz="4"/>
            </w:tcBorders>
            <w:shd w:fill="FF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board is invited to approve Phase 2 deployment targeting 10,000 active female vendor profiles across Nairobi, Mombasa, and Kisumu corridors. The Agent Pride system is production-ready, fully auditable, and purpose-built for the regulatory environment of Kenya's CMA and CBK frameworks.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973A"/>
                <w:sz w:val="20"/>
                <w:szCs w:val="20"/>
              </w:rPr>
              <w:t xml:space="preserve">Expected outcome: 37% uplift in approved female vendor loan portfolios within 6 months of full rollout, with zero compromise to the &lt;3% default risk covenant.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6E6E" w:sz="4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Agent Pride  |  AI-Safari Capstone  |  Confidential — Board Use Only  |  June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6E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2026-06-11T11:47:40.222Z</dcterms:created>
  <dcterms:modified xsi:type="dcterms:W3CDTF">2026-06-11T11:47:40.222Z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