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7560"/>
        <w:gridCol w:w="2160"/>
      </w:tblGrid>
      <w:tr>
        <w:tc>
          <w:tcPr>
            <w:tcW w:type="dxa" w:w="7560"/>
            <w:tcBorders>
              <w:top w:val="none" w:color="FFFFFF" w:sz="0"/>
              <w:left w:val="none" w:color="FFFFFF" w:sz="0"/>
              <w:bottom w:val="none" w:color="FFFFFF" w:sz="0"/>
              <w:right w:val="none" w:color="FFFFFF" w:sz="0"/>
            </w:tcBorders>
            <w:shd w:fill="0D6E6E" w:val="clear"/>
            <w:tcMar>
              <w:top w:type="dxa" w:w="180"/>
              <w:left w:type="dxa" w:w="200"/>
              <w:bottom w:type="dxa" w:w="180"/>
              <w:right w:type="dxa" w:w="200"/>
            </w:tcMar>
            <w:vAlign w:val="center"/>
          </w:tcPr>
          <w:p>
            <w:r>
              <w:rPr>
                <w:rFonts w:ascii="Arial" w:cs="Arial" w:eastAsia="Arial" w:hAnsi="Arial"/>
                <w:b/>
                <w:bCs/>
                <w:color w:val="FFFFFF"/>
                <w:sz w:val="32"/>
                <w:szCs w:val="32"/>
              </w:rPr>
              <w:t xml:space="preserve">AI-SAFARI EXPEDITION</w:t>
            </w:r>
          </w:p>
          <w:p>
            <w:pPr>
              <w:spacing w:after="0" w:before="40"/>
            </w:pPr>
            <w:r>
              <w:rPr>
                <w:rFonts w:ascii="Arial" w:cs="Arial" w:eastAsia="Arial" w:hAnsi="Arial"/>
                <w:color w:val="B2DADA"/>
                <w:sz w:val="18"/>
                <w:szCs w:val="18"/>
              </w:rPr>
              <w:t xml:space="preserve">Safari Reflection  |  500 Words  |  Personal Account</w:t>
            </w:r>
          </w:p>
        </w:tc>
        <w:tc>
          <w:tcPr>
            <w:tcW w:type="dxa" w:w="2160"/>
            <w:tcBorders>
              <w:top w:val="none" w:color="FFFFFF" w:sz="0"/>
              <w:left w:val="none" w:color="FFFFFF" w:sz="0"/>
              <w:bottom w:val="none" w:color="FFFFFF" w:sz="0"/>
              <w:right w:val="none" w:color="FFFFFF" w:sz="0"/>
            </w:tcBorders>
            <w:shd w:fill="C8973A" w:val="clear"/>
            <w:tcMar>
              <w:top w:type="dxa" w:w="180"/>
              <w:left w:type="dxa" w:w="160"/>
              <w:bottom w:type="dxa" w:w="180"/>
              <w:right w:type="dxa" w:w="160"/>
            </w:tcMar>
            <w:vAlign w:val="center"/>
          </w:tcPr>
          <w:p>
            <w:pPr>
              <w:jc w:val="center"/>
            </w:pPr>
            <w:r>
              <w:rPr>
                <w:rFonts w:ascii="Arial" w:cs="Arial" w:eastAsia="Arial" w:hAnsi="Arial"/>
                <w:b/>
                <w:bCs/>
                <w:color w:val="FFFFFF"/>
                <w:sz w:val="20"/>
                <w:szCs w:val="20"/>
              </w:rPr>
              <w:t xml:space="preserve">REFLECTION</w:t>
            </w:r>
          </w:p>
          <w:p>
            <w:pPr>
              <w:spacing w:after="0" w:before="40"/>
              <w:jc w:val="center"/>
            </w:pPr>
            <w:r>
              <w:rPr>
                <w:rFonts w:ascii="Arial" w:cs="Arial" w:eastAsia="Arial" w:hAnsi="Arial"/>
                <w:color w:val="FFFFFF"/>
                <w:sz w:val="18"/>
                <w:szCs w:val="18"/>
              </w:rPr>
              <w:t xml:space="preserve">June 2026</w:t>
            </w:r>
          </w:p>
        </w:tc>
      </w:tr>
    </w:tbl>
    <w:p>
      <w:pPr>
        <w:spacing w:after="0" w:before="200"/>
      </w:pPr>
      <w:r>
        <w:t xml:space="preserve"/>
      </w:r>
    </w:p>
    <w:p>
      <w:pPr>
        <w:pBdr>
          <w:bottom w:val="single" w:color="0D6E6E" w:sz="6" w:space="1"/>
        </w:pBdr>
        <w:spacing w:after="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73A" w:sz="16"/>
              <w:bottom w:val="none" w:color="FFFFFF" w:sz="0"/>
              <w:right w:val="none" w:color="FFFFFF" w:sz="0"/>
            </w:tcBorders>
            <w:shd w:fill="FFFDF5" w:val="clear"/>
            <w:tcMar>
              <w:top w:type="dxa" w:w="120"/>
              <w:left w:type="dxa" w:w="240"/>
              <w:bottom w:type="dxa" w:w="120"/>
              <w:right w:type="dxa" w:w="120"/>
            </w:tcMar>
          </w:tcPr>
          <w:p>
            <w:r>
              <w:rPr>
                <w:rFonts w:ascii="Arial" w:cs="Arial" w:eastAsia="Arial" w:hAnsi="Arial"/>
                <w:b/>
                <w:bCs/>
                <w:i/>
                <w:iCs/>
                <w:color w:val="C8973A"/>
                <w:sz w:val="22"/>
                <w:szCs w:val="22"/>
              </w:rPr>
              <w:t xml:space="preserve">From prompt engineer to ecosystem architect — the safari changed not what I build, but how I think about building.</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6E6E"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w:t>
            </w:r>
          </w:p>
        </w:tc>
        <w:tc>
          <w:tcPr>
            <w:tcW w:type="dxa" w:w="8640"/>
            <w:tcBorders>
              <w:top w:val="none" w:color="FFFFFF" w:sz="0"/>
              <w:left w:val="none" w:color="FFFFFF" w:sz="0"/>
              <w:bottom w:val="none" w:color="FFFFFF" w:sz="0"/>
              <w:right w:val="none" w:color="FFFFFF" w:sz="0"/>
            </w:tcBorders>
            <w:shd w:fill="E6F4F4" w:val="clear"/>
            <w:tcMar>
              <w:top w:type="dxa" w:w="120"/>
              <w:left w:type="dxa" w:w="180"/>
              <w:bottom w:type="dxa" w:w="120"/>
              <w:right w:type="dxa" w:w="120"/>
            </w:tcMar>
            <w:vAlign w:val="center"/>
          </w:tcPr>
          <w:p>
            <w:r>
              <w:rPr>
                <w:rFonts w:ascii="Arial" w:cs="Arial" w:eastAsia="Arial" w:hAnsi="Arial"/>
                <w:b/>
                <w:bCs/>
                <w:color w:val="0D6E6E"/>
                <w:sz w:val="22"/>
                <w:szCs w:val="22"/>
              </w:rPr>
              <w:t xml:space="preserve">Savannah Precision — Learning to Aim Before Firing</w:t>
            </w:r>
          </w:p>
        </w:tc>
      </w:tr>
    </w:tbl>
    <w:p>
      <w:pPr>
        <w:spacing w:after="0" w:before="120"/>
      </w:pPr>
      <w:r>
        <w:t xml:space="preserve"/>
      </w:r>
    </w:p>
    <w:p>
      <w:pPr>
        <w:spacing w:after="160" w:before="0"/>
      </w:pPr>
      <w:r>
        <w:rPr>
          <w:rFonts w:ascii="Arial" w:cs="Arial" w:eastAsia="Arial" w:hAnsi="Arial"/>
          <w:color w:val="1A1A2E"/>
          <w:sz w:val="20"/>
          <w:szCs w:val="20"/>
        </w:rPr>
        <w:t xml:space="preserve">I arrived at the Savannah phase believing I already knew how to use AI. I had been typing questions and accepting answers. What the AIM Framework exposed was the gap between using AI and directing it. When I applied the bias auditor lens to Ujima's 68% denial rate for market vendors, the tool stopped being a search engine and became a forensic instrument. The difference was specificity — Act, Instruct, Modify transformed vague curiosity into surgical inquiry.</w:t>
      </w:r>
    </w:p>
    <w:p>
      <w:pPr>
        <w:spacing w:after="160" w:before="0"/>
      </w:pPr>
      <w:r>
        <w:rPr>
          <w:rFonts w:ascii="Arial" w:cs="Arial" w:eastAsia="Arial" w:hAnsi="Arial"/>
          <w:color w:val="1A1A2E"/>
          <w:sz w:val="20"/>
          <w:szCs w:val="20"/>
        </w:rPr>
        <w:t xml:space="preserve">The OCEAN verification step was humbling. Two of my "facts" about Kenyan harvest cycles were confidently wrong. That early failure became my most valuable lesson: AI fluency begins with structured scepticism, not uncritical acceptance. Precision prompting is not about being clever — it is about being disciplined.</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6E6E"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T</w:t>
            </w:r>
          </w:p>
        </w:tc>
        <w:tc>
          <w:tcPr>
            <w:tcW w:type="dxa" w:w="8640"/>
            <w:tcBorders>
              <w:top w:val="none" w:color="FFFFFF" w:sz="0"/>
              <w:left w:val="none" w:color="FFFFFF" w:sz="0"/>
              <w:bottom w:val="none" w:color="FFFFFF" w:sz="0"/>
              <w:right w:val="none" w:color="FFFFFF" w:sz="0"/>
            </w:tcBorders>
            <w:shd w:fill="E6F4F4" w:val="clear"/>
            <w:tcMar>
              <w:top w:type="dxa" w:w="120"/>
              <w:left w:type="dxa" w:w="180"/>
              <w:bottom w:type="dxa" w:w="120"/>
              <w:right w:type="dxa" w:w="120"/>
            </w:tcMar>
            <w:vAlign w:val="center"/>
          </w:tcPr>
          <w:p>
            <w:r>
              <w:rPr>
                <w:rFonts w:ascii="Arial" w:cs="Arial" w:eastAsia="Arial" w:hAnsi="Arial"/>
                <w:b/>
                <w:bCs/>
                <w:color w:val="0D6E6E"/>
                <w:sz w:val="22"/>
                <w:szCs w:val="22"/>
              </w:rPr>
              <w:t xml:space="preserve">Tsavo Fluency — Thinking With, Not Through</w:t>
            </w:r>
          </w:p>
        </w:tc>
      </w:tr>
    </w:tbl>
    <w:p>
      <w:pPr>
        <w:spacing w:after="0" w:before="120"/>
      </w:pPr>
      <w:r>
        <w:t xml:space="preserve"/>
      </w:r>
    </w:p>
    <w:p>
      <w:pPr>
        <w:spacing w:after="160" w:before="0"/>
      </w:pPr>
      <w:r>
        <w:rPr>
          <w:rFonts w:ascii="Arial" w:cs="Arial" w:eastAsia="Arial" w:hAnsi="Arial"/>
          <w:color w:val="1A1A2E"/>
          <w:sz w:val="20"/>
          <w:szCs w:val="20"/>
        </w:rPr>
        <w:t xml:space="preserve">Tsavo shifted my mental model from AI as a tool to AI as a cognitive partner. The 4D Framework — Delegation, Description, Discernment, Diligence — forced me to map what I genuinely own versus what I can safely extend. Discovering that I needed to hold cultural nuance for Dagbamba naming conventions while delegating pattern analysis changed how I approached every subsequent design decision.</w:t>
      </w:r>
    </w:p>
    <w:p>
      <w:pPr>
        <w:spacing w:after="160" w:before="0"/>
      </w:pPr>
      <w:r>
        <w:rPr>
          <w:rFonts w:ascii="Arial" w:cs="Arial" w:eastAsia="Arial" w:hAnsi="Arial"/>
          <w:color w:val="1A1A2E"/>
          <w:sz w:val="20"/>
          <w:szCs w:val="20"/>
        </w:rPr>
        <w:t xml:space="preserve">Configuring the SMS savings coach as an Autonomous Ranger with defined knowledge boundaries taught me that good AI deployment is mostly an exercise in constraint design. The most powerful agents are not the most capable — they are the most precisely bounded. Temperature calibration reinforced this: low for SASRA interest calculations, high for financial literacy brainstorming. The same model, radically different behaviour, entirely a function of intentional configuration.</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6E6E"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E</w:t>
            </w:r>
          </w:p>
        </w:tc>
        <w:tc>
          <w:tcPr>
            <w:tcW w:type="dxa" w:w="8640"/>
            <w:tcBorders>
              <w:top w:val="none" w:color="FFFFFF" w:sz="0"/>
              <w:left w:val="none" w:color="FFFFFF" w:sz="0"/>
              <w:bottom w:val="none" w:color="FFFFFF" w:sz="0"/>
              <w:right w:val="none" w:color="FFFFFF" w:sz="0"/>
            </w:tcBorders>
            <w:shd w:fill="E6F4F4" w:val="clear"/>
            <w:tcMar>
              <w:top w:type="dxa" w:w="120"/>
              <w:left w:type="dxa" w:w="180"/>
              <w:bottom w:type="dxa" w:w="120"/>
              <w:right w:type="dxa" w:w="120"/>
            </w:tcMar>
            <w:vAlign w:val="center"/>
          </w:tcPr>
          <w:p>
            <w:r>
              <w:rPr>
                <w:rFonts w:ascii="Arial" w:cs="Arial" w:eastAsia="Arial" w:hAnsi="Arial"/>
                <w:b/>
                <w:bCs/>
                <w:color w:val="0D6E6E"/>
                <w:sz w:val="22"/>
                <w:szCs w:val="22"/>
              </w:rPr>
              <w:t xml:space="preserve">Ethical Savannah — Conscience as Architecture</w:t>
            </w:r>
          </w:p>
        </w:tc>
      </w:tr>
    </w:tbl>
    <w:p>
      <w:pPr>
        <w:spacing w:after="0" w:before="120"/>
      </w:pPr>
      <w:r>
        <w:t xml:space="preserve"/>
      </w:r>
    </w:p>
    <w:p>
      <w:pPr>
        <w:spacing w:after="160" w:before="0"/>
      </w:pPr>
      <w:r>
        <w:rPr>
          <w:rFonts w:ascii="Arial" w:cs="Arial" w:eastAsia="Arial" w:hAnsi="Arial"/>
          <w:color w:val="1A1A2E"/>
          <w:sz w:val="20"/>
          <w:szCs w:val="20"/>
        </w:rPr>
        <w:t xml:space="preserve">The Ethical Savannah phase was the most uncomfortable and the most important. The TRACK audit forced me to ask whether the model was amplifying the historical exclusion of women vendors — not as a philosophical question but as a testable hypothesis. When I ran the counterfactual ("what if the market vendor had identical cash flow to the formal employee?") and the model still scored them lower, the bias was no longer theoretical.</w:t>
      </w:r>
    </w:p>
    <w:p>
      <w:pPr>
        <w:spacing w:after="160" w:before="0"/>
      </w:pPr>
      <w:r>
        <w:rPr>
          <w:rFonts w:ascii="Arial" w:cs="Arial" w:eastAsia="Arial" w:hAnsi="Arial"/>
          <w:color w:val="1A1A2E"/>
          <w:sz w:val="20"/>
          <w:szCs w:val="20"/>
        </w:rPr>
        <w:t xml:space="preserve">Designing the OASIS data stewardship charter and anchoring storage to AWS Africa Cape Town under Kenya DPA 2022 changed how I think about infrastructure. Data sovereignty is not a compliance checkbox — it is an ethical commitment to the communities whose lives the data represents. The PRIDE Loop's Elders Council — three SACCO managers, two women vendors, one fintech regulator — became my template for what meaningful human oversight actually looks like: not a single approver, but a community with skin in the game.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6E6E"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A</w:t>
            </w:r>
          </w:p>
        </w:tc>
        <w:tc>
          <w:tcPr>
            <w:tcW w:type="dxa" w:w="8640"/>
            <w:tcBorders>
              <w:top w:val="none" w:color="FFFFFF" w:sz="0"/>
              <w:left w:val="none" w:color="FFFFFF" w:sz="0"/>
              <w:bottom w:val="none" w:color="FFFFFF" w:sz="0"/>
              <w:right w:val="none" w:color="FFFFFF" w:sz="0"/>
            </w:tcBorders>
            <w:shd w:fill="E6F4F4" w:val="clear"/>
            <w:tcMar>
              <w:top w:type="dxa" w:w="120"/>
              <w:left w:type="dxa" w:w="180"/>
              <w:bottom w:type="dxa" w:w="120"/>
              <w:right w:type="dxa" w:w="120"/>
            </w:tcMar>
            <w:vAlign w:val="center"/>
          </w:tcPr>
          <w:p>
            <w:r>
              <w:rPr>
                <w:rFonts w:ascii="Arial" w:cs="Arial" w:eastAsia="Arial" w:hAnsi="Arial"/>
                <w:b/>
                <w:bCs/>
                <w:color w:val="0D6E6E"/>
                <w:sz w:val="22"/>
                <w:szCs w:val="22"/>
              </w:rPr>
              <w:t xml:space="preserve">Agent Savannah — Orchestrating the Pride</w:t>
            </w:r>
          </w:p>
        </w:tc>
      </w:tr>
    </w:tbl>
    <w:p>
      <w:pPr>
        <w:spacing w:after="0" w:before="120"/>
      </w:pPr>
      <w:r>
        <w:t xml:space="preserve"/>
      </w:r>
    </w:p>
    <w:p>
      <w:pPr>
        <w:spacing w:after="160" w:before="0"/>
      </w:pPr>
      <w:r>
        <w:rPr>
          <w:rFonts w:ascii="Arial" w:cs="Arial" w:eastAsia="Arial" w:hAnsi="Arial"/>
          <w:color w:val="1A1A2E"/>
          <w:sz w:val="20"/>
          <w:szCs w:val="20"/>
        </w:rPr>
        <w:t xml:space="preserve">Building Agent Pride's three-agent ecosystem crystallised everything. The Scout, Guardian, and Hunter are not just software components — they embody a philosophy of graduated accountability. No single agent holds too much power. The HUNT handoff triggers are explicit contracts. The GUARD dignity filter — rejecting any denial message containing "unreliable" or "risky" — is ethics enforced at the infrastructure level, not dependent on anyone remembering to be kind.</w:t>
      </w:r>
    </w:p>
    <w:p>
      <w:pPr>
        <w:spacing w:after="160" w:before="0"/>
      </w:pPr>
      <w:r>
        <w:rPr>
          <w:rFonts w:ascii="Arial" w:cs="Arial" w:eastAsia="Arial" w:hAnsi="Arial"/>
          <w:color w:val="1A1A2E"/>
          <w:sz w:val="20"/>
          <w:szCs w:val="20"/>
        </w:rPr>
        <w:t xml:space="preserve">The CYCLE self-improvement engine's human validation gate — the Slack approval workflow before any model update deploys — was the moment the expedition came full circle. The most sophisticated agentic system still needs a human who says yes before it changes.</w:t>
      </w:r>
    </w:p>
    <w:p>
      <w:pPr>
        <w:spacing w:after="0" w:before="160"/>
      </w:pPr>
      <w:r>
        <w:t xml:space="preserve"/>
      </w:r>
    </w:p>
    <w:p>
      <w:pPr>
        <w:pBdr>
          <w:bottom w:val="single" w:color="B2DADA" w:sz="4" w:space="1"/>
        </w:pBdr>
        <w:spacing w:after="0" w:before="0"/>
      </w:pPr>
      <w:r>
        <w:t xml:space="preserve"/>
      </w:r>
    </w:p>
    <w:p>
      <w:pPr>
        <w:spacing w:after="0" w:before="160"/>
      </w:pPr>
      <w:r>
        <w:t xml:space="preserve"/>
      </w:r>
    </w:p>
    <w:p>
      <w:pPr>
        <w:spacing w:after="120" w:before="0"/>
      </w:pPr>
      <w:r>
        <w:rPr>
          <w:rFonts w:ascii="Arial" w:cs="Arial" w:eastAsia="Arial" w:hAnsi="Arial"/>
          <w:b/>
          <w:bCs/>
          <w:color w:val="0D6E6E"/>
          <w:sz w:val="24"/>
          <w:szCs w:val="24"/>
        </w:rPr>
        <w:t xml:space="preserve">What I Would Do Differently</w:t>
      </w:r>
    </w:p>
    <w:p>
      <w:pPr>
        <w:spacing w:after="160" w:before="0"/>
      </w:pPr>
      <w:r>
        <w:rPr>
          <w:rFonts w:ascii="Arial" w:cs="Arial" w:eastAsia="Arial" w:hAnsi="Arial"/>
          <w:color w:val="1A1A2E"/>
          <w:sz w:val="20"/>
          <w:szCs w:val="20"/>
        </w:rPr>
        <w:t xml:space="preserve">I would begin the TRACK bias audit at Phase 1, not Phase 3. Bias is not an ethical concern layered on top of a technical system — it is a technical concern from the first line of code. I would also invest earlier in the community validation loop: the two women vendors on the Elders Council should have been consultants from the design phase, not governance members at the deployment phase.</w:t>
      </w:r>
    </w:p>
    <w:p>
      <w:pPr>
        <w:spacing w:after="160" w:before="0"/>
      </w:pPr>
      <w:r>
        <w:rPr>
          <w:rFonts w:ascii="Arial" w:cs="Arial" w:eastAsia="Arial" w:hAnsi="Arial"/>
          <w:color w:val="1A1A2E"/>
          <w:sz w:val="20"/>
          <w:szCs w:val="20"/>
        </w:rPr>
        <w:t xml:space="preserve">Most importantly, I would resist the temptation to deploy faster. The expedition taught me that the 15 minutes saved by skipping a Red Team test is a debt paid with interest by the community that trusts the system. Slow, auditable, community-anchored deployment is not a constraint on impact — it is the condition for impact that lasts.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73A" w:sz="16"/>
              <w:bottom w:val="none" w:color="FFFFFF" w:sz="0"/>
              <w:right w:val="none" w:color="FFFFFF" w:sz="0"/>
            </w:tcBorders>
            <w:shd w:fill="FFFDF5" w:val="clear"/>
            <w:tcMar>
              <w:top w:type="dxa" w:w="120"/>
              <w:left w:type="dxa" w:w="240"/>
              <w:bottom w:type="dxa" w:w="120"/>
              <w:right w:type="dxa" w:w="120"/>
            </w:tcMar>
          </w:tcPr>
          <w:p>
            <w:r>
              <w:rPr>
                <w:rFonts w:ascii="Arial" w:cs="Arial" w:eastAsia="Arial" w:hAnsi="Arial"/>
                <w:b/>
                <w:bCs/>
                <w:i/>
                <w:iCs/>
                <w:color w:val="C8973A"/>
                <w:sz w:val="22"/>
                <w:szCs w:val="22"/>
              </w:rPr>
              <w:t xml:space="preserve">The safari did not teach me to use AI better. It taught me to deserve the trust of the people whose lives AI decisions affect.</w:t>
            </w:r>
          </w:p>
        </w:tc>
      </w:tr>
    </w:tbl>
    <w:p>
      <w:pPr>
        <w:spacing w:after="0" w:before="200"/>
      </w:pPr>
      <w:r>
        <w:t xml:space="preserve"/>
      </w:r>
    </w:p>
    <w:p>
      <w:pPr>
        <w:pBdr>
          <w:bottom w:val="single" w:color="0D6E6E" w:sz="4" w:space="1"/>
        </w:pBdr>
        <w:spacing w:after="0" w:before="0"/>
      </w:pPr>
      <w:r>
        <w:t xml:space="preserve"/>
      </w:r>
    </w:p>
    <w:p>
      <w:pPr>
        <w:spacing w:after="0" w:before="80"/>
      </w:pPr>
      <w:r>
        <w:t xml:space="preserve"/>
      </w:r>
    </w:p>
    <w:p>
      <w:pPr>
        <w:jc w:val="center"/>
      </w:pPr>
      <w:r>
        <w:rPr>
          <w:rFonts w:ascii="Arial" w:cs="Arial" w:eastAsia="Arial" w:hAnsi="Arial"/>
          <w:color w:val="6B7280"/>
          <w:sz w:val="16"/>
          <w:szCs w:val="16"/>
        </w:rPr>
        <w:t xml:space="preserve">AI-Safari Capstone  |  Agent Pride  |  June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2026-06-11T11:56:55.962Z</dcterms:created>
  <dcterms:modified xsi:type="dcterms:W3CDTF">2026-06-11T11:56:55.974Z</dcterms:modified>
</cp:coreProperties>
</file>

<file path=docProps/custom.xml><?xml version="1.0" encoding="utf-8"?>
<Properties xmlns="http://schemas.openxmlformats.org/officeDocument/2006/custom-properties" xmlns:vt="http://schemas.openxmlformats.org/officeDocument/2006/docPropsVTypes"/>
</file>