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EE6" w:rsidRPr="0054069F" w:rsidRDefault="0054069F">
      <w:pPr>
        <w:rPr>
          <w:b/>
        </w:rPr>
      </w:pPr>
      <w:r w:rsidRPr="0054069F">
        <w:rPr>
          <w:b/>
        </w:rPr>
        <w:t>Utah Lake Groundwater</w:t>
      </w:r>
    </w:p>
    <w:p w:rsidR="00B114DC" w:rsidRDefault="00B114DC">
      <w:r>
        <w:t xml:space="preserve">The estimated groundwater contribution to Utah Lake was based on published USGS groundwater modeling studies. </w:t>
      </w:r>
      <w:r w:rsidR="0054069F">
        <w:t>The USGS reports broke up Utah Lake Valley into northern and southern portions.</w:t>
      </w:r>
    </w:p>
    <w:p w:rsidR="00B114DC" w:rsidRDefault="00B114DC">
      <w:r>
        <w:t xml:space="preserve">Northern Utah Valley groundwater estimates from Cederberg et al. 2009. From Table 4, estimated mean annual </w:t>
      </w:r>
      <w:r w:rsidR="00F17588">
        <w:t xml:space="preserve">(1975-2004) </w:t>
      </w:r>
      <w:r>
        <w:t>groundwater inflow to Utah Lake is 25,500 ac-ft/yr.</w:t>
      </w:r>
    </w:p>
    <w:p w:rsidR="00B114DC" w:rsidRPr="000B5E50" w:rsidRDefault="00B114DC">
      <w:pPr>
        <w:rPr>
          <w:sz w:val="16"/>
          <w:szCs w:val="16"/>
        </w:rPr>
      </w:pPr>
      <w:r>
        <w:rPr>
          <w:noProof/>
        </w:rPr>
        <w:drawing>
          <wp:inline distT="0" distB="0" distL="0" distR="0" wp14:anchorId="51C4F5AF">
            <wp:extent cx="4421151" cy="594360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1151" cy="5943600"/>
                    </a:xfrm>
                    <a:prstGeom prst="rect">
                      <a:avLst/>
                    </a:prstGeom>
                    <a:noFill/>
                    <a:ln>
                      <a:solidFill>
                        <a:schemeClr val="tx1"/>
                      </a:solidFill>
                    </a:ln>
                  </pic:spPr>
                </pic:pic>
              </a:graphicData>
            </a:graphic>
          </wp:inline>
        </w:drawing>
      </w:r>
      <w:r w:rsidR="000B5E50">
        <w:br/>
      </w:r>
      <w:r w:rsidR="000B5E50" w:rsidRPr="000B5E50">
        <w:rPr>
          <w:sz w:val="16"/>
          <w:szCs w:val="16"/>
        </w:rPr>
        <w:t>Source: Cederberg et al. 2009</w:t>
      </w:r>
    </w:p>
    <w:p w:rsidR="000B5E50" w:rsidRPr="000B5E50" w:rsidRDefault="00B114DC" w:rsidP="000B5E50">
      <w:pPr>
        <w:rPr>
          <w:sz w:val="16"/>
          <w:szCs w:val="16"/>
        </w:rPr>
      </w:pPr>
      <w:r>
        <w:rPr>
          <w:noProof/>
        </w:rPr>
        <w:lastRenderedPageBreak/>
        <w:drawing>
          <wp:inline distT="0" distB="0" distL="0" distR="0" wp14:anchorId="3C0FE42B" wp14:editId="48B1290D">
            <wp:extent cx="5943600" cy="5083507"/>
            <wp:effectExtent l="19050" t="19050" r="1905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083507"/>
                    </a:xfrm>
                    <a:prstGeom prst="rect">
                      <a:avLst/>
                    </a:prstGeom>
                    <a:noFill/>
                    <a:ln>
                      <a:solidFill>
                        <a:schemeClr val="tx1"/>
                      </a:solidFill>
                    </a:ln>
                  </pic:spPr>
                </pic:pic>
              </a:graphicData>
            </a:graphic>
          </wp:inline>
        </w:drawing>
      </w:r>
      <w:r w:rsidR="000B5E50" w:rsidRPr="000B5E50">
        <w:rPr>
          <w:sz w:val="16"/>
          <w:szCs w:val="16"/>
        </w:rPr>
        <w:t xml:space="preserve"> Source: Cederberg et al. 2009</w:t>
      </w:r>
    </w:p>
    <w:p w:rsidR="00B114DC" w:rsidRDefault="00B114DC"/>
    <w:p w:rsidR="00015B57" w:rsidRDefault="00015B57">
      <w:pPr>
        <w:spacing w:before="0"/>
      </w:pPr>
      <w:r>
        <w:br w:type="page"/>
      </w:r>
    </w:p>
    <w:p w:rsidR="00F17588" w:rsidRDefault="00F17588">
      <w:r>
        <w:lastRenderedPageBreak/>
        <w:t>Southern</w:t>
      </w:r>
      <w:r w:rsidRPr="00F17588">
        <w:t xml:space="preserve"> Utah Valley groundwater estimates from </w:t>
      </w:r>
      <w:r>
        <w:t>Brooks and Stolp</w:t>
      </w:r>
      <w:r w:rsidRPr="00F17588">
        <w:t xml:space="preserve"> </w:t>
      </w:r>
      <w:r>
        <w:t>1995 and Brooks 2013</w:t>
      </w:r>
      <w:r w:rsidR="00015B57">
        <w:t>. From Table 1</w:t>
      </w:r>
      <w:r w:rsidRPr="00F17588">
        <w:t xml:space="preserve">, estimated mean annual groundwater inflow to Utah Lake is </w:t>
      </w:r>
      <w:r w:rsidR="00015B57">
        <w:t>9,600</w:t>
      </w:r>
      <w:r w:rsidRPr="00F17588">
        <w:t xml:space="preserve"> ac-ft/yr</w:t>
      </w:r>
      <w:r w:rsidR="00015B57">
        <w:t xml:space="preserve"> and to Goshen Bay is 3,600 ac-ft/yr</w:t>
      </w:r>
      <w:r w:rsidRPr="00F17588">
        <w:t>.</w:t>
      </w:r>
    </w:p>
    <w:p w:rsidR="00D2279D" w:rsidRPr="000B5E50" w:rsidRDefault="00F17588" w:rsidP="00D2279D">
      <w:pPr>
        <w:rPr>
          <w:sz w:val="16"/>
          <w:szCs w:val="16"/>
        </w:rPr>
      </w:pPr>
      <w:r>
        <w:rPr>
          <w:noProof/>
        </w:rPr>
        <w:drawing>
          <wp:inline distT="0" distB="0" distL="0" distR="0" wp14:anchorId="5F0DB60C" wp14:editId="2C0DC147">
            <wp:extent cx="4909292" cy="5943600"/>
            <wp:effectExtent l="19050" t="19050" r="24765" b="190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909292" cy="5943600"/>
                    </a:xfrm>
                    <a:prstGeom prst="rect">
                      <a:avLst/>
                    </a:prstGeom>
                    <a:ln>
                      <a:solidFill>
                        <a:schemeClr val="tx1"/>
                      </a:solidFill>
                    </a:ln>
                  </pic:spPr>
                </pic:pic>
              </a:graphicData>
            </a:graphic>
          </wp:inline>
        </w:drawing>
      </w:r>
      <w:r w:rsidR="00D2279D">
        <w:br/>
      </w:r>
      <w:r w:rsidR="00D2279D" w:rsidRPr="000B5E50">
        <w:rPr>
          <w:sz w:val="16"/>
          <w:szCs w:val="16"/>
        </w:rPr>
        <w:t xml:space="preserve">Source: </w:t>
      </w:r>
      <w:r w:rsidR="00D2279D">
        <w:rPr>
          <w:sz w:val="16"/>
          <w:szCs w:val="16"/>
        </w:rPr>
        <w:t>Brooks 2013</w:t>
      </w:r>
    </w:p>
    <w:p w:rsidR="00F17588" w:rsidRDefault="00F17588"/>
    <w:p w:rsidR="00D2279D" w:rsidRPr="000B5E50" w:rsidRDefault="00F17588" w:rsidP="00D2279D">
      <w:pPr>
        <w:rPr>
          <w:sz w:val="16"/>
          <w:szCs w:val="16"/>
        </w:rPr>
      </w:pPr>
      <w:r w:rsidRPr="00F17588">
        <w:rPr>
          <w:noProof/>
        </w:rPr>
        <w:lastRenderedPageBreak/>
        <w:drawing>
          <wp:inline distT="0" distB="0" distL="0" distR="0" wp14:anchorId="7AEA5B33" wp14:editId="0BB9AA98">
            <wp:extent cx="5943600" cy="3582670"/>
            <wp:effectExtent l="19050" t="19050" r="1905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82670"/>
                    </a:xfrm>
                    <a:prstGeom prst="rect">
                      <a:avLst/>
                    </a:prstGeom>
                    <a:ln>
                      <a:solidFill>
                        <a:schemeClr val="tx1"/>
                      </a:solidFill>
                    </a:ln>
                  </pic:spPr>
                </pic:pic>
              </a:graphicData>
            </a:graphic>
          </wp:inline>
        </w:drawing>
      </w:r>
      <w:r w:rsidR="00D2279D" w:rsidRPr="000B5E50">
        <w:rPr>
          <w:sz w:val="16"/>
          <w:szCs w:val="16"/>
        </w:rPr>
        <w:t xml:space="preserve">Source: </w:t>
      </w:r>
      <w:r w:rsidR="00D2279D">
        <w:rPr>
          <w:sz w:val="16"/>
          <w:szCs w:val="16"/>
        </w:rPr>
        <w:t>Brooks 2013</w:t>
      </w:r>
    </w:p>
    <w:p w:rsidR="00D2279D" w:rsidRDefault="00D2279D"/>
    <w:p w:rsidR="002A2CD9" w:rsidRDefault="002A2CD9">
      <w:r>
        <w:t>Total mean annual groundwater discharge to Utah Lake is estimated to be 38,700 ac-ft/yr.</w:t>
      </w:r>
    </w:p>
    <w:p w:rsidR="002A2CD9" w:rsidRDefault="0019486E">
      <w:r>
        <w:t xml:space="preserve">From </w:t>
      </w:r>
      <w:r w:rsidR="00D44D07" w:rsidRPr="00D44D07">
        <w:t>Appendix A of LKSIM User’s Manual 2008 Version</w:t>
      </w:r>
      <w:r w:rsidR="00D44D07">
        <w:t>,</w:t>
      </w:r>
      <w:r w:rsidR="00D44D07" w:rsidRPr="00D44D07">
        <w:t xml:space="preserve"> </w:t>
      </w:r>
      <w:r>
        <w:t xml:space="preserve">the LKSIM model of Utah Lake </w:t>
      </w:r>
      <w:r w:rsidR="00D44D07">
        <w:t>includes the following groundwater inputs</w:t>
      </w:r>
      <w:r>
        <w:t xml:space="preserve"> : </w:t>
      </w:r>
      <w:r w:rsidRPr="0019486E">
        <w:rPr>
          <w:i/>
        </w:rPr>
        <w:t>For the 1950-1999 period, fresh groundwater inflows averaged 74,025 ac ft/yr as shown in Table A-3. As shown in Table A-4 total mineralized inflow averages 24,525 af/yr for the 1950-1999 period.  For the mineral inflows, about 10,000 af/yr is issuing from exposed shoreline springs or from identified underwater orifice areas, the remaining 17,100 af/yr occurs in non-measurable seeps and springs, largely in the bed of the lake.</w:t>
      </w:r>
    </w:p>
    <w:p w:rsidR="002A2CD9" w:rsidRDefault="0019486E">
      <w:r>
        <w:t xml:space="preserve">Therefore, the LKSIM estimate of </w:t>
      </w:r>
      <w:r w:rsidR="00D44D07">
        <w:t xml:space="preserve">total </w:t>
      </w:r>
      <w:r>
        <w:t xml:space="preserve">groundwater is </w:t>
      </w:r>
      <w:r w:rsidR="00D44D07">
        <w:t>approximately 98,550 ac-ft/yr, or</w:t>
      </w:r>
      <w:r>
        <w:t xml:space="preserve"> 59,850 ac-ft</w:t>
      </w:r>
      <w:r w:rsidR="002959B6">
        <w:t>/yr</w:t>
      </w:r>
      <w:r>
        <w:t xml:space="preserve"> greater</w:t>
      </w:r>
      <w:r w:rsidR="002959B6">
        <w:t xml:space="preserve"> </w:t>
      </w:r>
      <w:r>
        <w:t>than the USGS estimate.</w:t>
      </w:r>
    </w:p>
    <w:p w:rsidR="00D44D07" w:rsidRDefault="00D44D07">
      <w:pPr>
        <w:spacing w:before="0"/>
        <w:rPr>
          <w:b/>
        </w:rPr>
      </w:pPr>
      <w:r>
        <w:rPr>
          <w:b/>
        </w:rPr>
        <w:br w:type="page"/>
      </w:r>
    </w:p>
    <w:p w:rsidR="00F17588" w:rsidRDefault="0054069F">
      <w:pPr>
        <w:rPr>
          <w:b/>
        </w:rPr>
      </w:pPr>
      <w:r>
        <w:rPr>
          <w:b/>
        </w:rPr>
        <w:lastRenderedPageBreak/>
        <w:t xml:space="preserve">Utah Lake </w:t>
      </w:r>
      <w:r w:rsidR="002A2CD9" w:rsidRPr="0019486E">
        <w:rPr>
          <w:b/>
        </w:rPr>
        <w:t>Water Balance</w:t>
      </w:r>
    </w:p>
    <w:p w:rsidR="001E3CA8" w:rsidRDefault="001E3CA8" w:rsidP="001E3CA8">
      <w:r>
        <w:t>A monthly water balance for Utah Lake wa</w:t>
      </w:r>
      <w:r w:rsidR="000F0242">
        <w:t>s calculated for water year 2006</w:t>
      </w:r>
      <w:r>
        <w:t>-2018. based on the following equation:</w:t>
      </w:r>
    </w:p>
    <w:p w:rsidR="001E3CA8" w:rsidRDefault="00D2279D" w:rsidP="001E3CA8">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∆S+</m:t>
          </m:r>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+ET-P</m:t>
          </m:r>
        </m:oMath>
      </m:oMathPara>
    </w:p>
    <w:p w:rsidR="001E3CA8" w:rsidRPr="00AC09FA" w:rsidRDefault="001E3CA8" w:rsidP="001E3CA8">
      <w:pPr>
        <w:ind w:left="2880"/>
      </w:pPr>
      <w:r>
        <w:t>With,</w:t>
      </w:r>
      <w:r>
        <w:tab/>
      </w:r>
      <w:r w:rsidRPr="00AC09FA">
        <w:rPr>
          <w:i/>
        </w:rPr>
        <w:t>Q</w:t>
      </w:r>
      <w:r w:rsidRPr="00AC09FA">
        <w:rPr>
          <w:i/>
          <w:vertAlign w:val="subscript"/>
        </w:rPr>
        <w:t>I</w:t>
      </w:r>
      <w:r>
        <w:t xml:space="preserve"> = </w:t>
      </w:r>
      <w:r w:rsidR="00774B7B">
        <w:t xml:space="preserve">total </w:t>
      </w:r>
      <w:r>
        <w:t>inflow (m</w:t>
      </w:r>
      <w:r w:rsidRPr="00C623FC">
        <w:rPr>
          <w:vertAlign w:val="superscript"/>
        </w:rPr>
        <w:t>3</w:t>
      </w:r>
      <w:r>
        <w:t>)</w:t>
      </w:r>
      <w:r>
        <w:br/>
      </w:r>
      <w:r>
        <w:tab/>
      </w:r>
      <w:r w:rsidRPr="00C623FC">
        <w:rPr>
          <w:rFonts w:cstheme="minorHAnsi"/>
          <w:i/>
        </w:rPr>
        <w:t>Δ</w:t>
      </w:r>
      <w:r w:rsidRPr="00C623FC">
        <w:rPr>
          <w:i/>
        </w:rPr>
        <w:t>S</w:t>
      </w:r>
      <w:r>
        <w:t xml:space="preserve"> = change in storage (m</w:t>
      </w:r>
      <w:r w:rsidRPr="00C623FC">
        <w:rPr>
          <w:vertAlign w:val="superscript"/>
        </w:rPr>
        <w:t>3</w:t>
      </w:r>
      <w:r>
        <w:t>)</w:t>
      </w:r>
      <w:r>
        <w:br/>
      </w:r>
      <w:r>
        <w:tab/>
      </w:r>
      <w:r w:rsidRPr="00AC09FA">
        <w:rPr>
          <w:i/>
        </w:rPr>
        <w:t>Q</w:t>
      </w:r>
      <w:r>
        <w:rPr>
          <w:i/>
          <w:vertAlign w:val="subscript"/>
        </w:rPr>
        <w:t>O</w:t>
      </w:r>
      <w:r>
        <w:t xml:space="preserve"> = outflow (m</w:t>
      </w:r>
      <w:r w:rsidRPr="00C623FC">
        <w:rPr>
          <w:vertAlign w:val="superscript"/>
        </w:rPr>
        <w:t>3</w:t>
      </w:r>
      <w:r>
        <w:t>)</w:t>
      </w:r>
      <w:r>
        <w:br/>
      </w:r>
      <w:r>
        <w:tab/>
      </w:r>
      <w:r w:rsidRPr="00C623FC">
        <w:rPr>
          <w:i/>
        </w:rPr>
        <w:t>ET</w:t>
      </w:r>
      <w:r>
        <w:t xml:space="preserve"> = evapotranspiration (m</w:t>
      </w:r>
      <w:r w:rsidRPr="00C623FC">
        <w:rPr>
          <w:vertAlign w:val="superscript"/>
        </w:rPr>
        <w:t>3</w:t>
      </w:r>
      <w:r>
        <w:t>)</w:t>
      </w:r>
      <w:r>
        <w:br/>
      </w:r>
      <w:r>
        <w:tab/>
      </w:r>
      <w:r w:rsidRPr="00C623FC">
        <w:rPr>
          <w:i/>
        </w:rPr>
        <w:t>P</w:t>
      </w:r>
      <w:r>
        <w:t xml:space="preserve"> = precipitation (m</w:t>
      </w:r>
      <w:r w:rsidRPr="00C623FC">
        <w:rPr>
          <w:vertAlign w:val="superscript"/>
        </w:rPr>
        <w:t>3</w:t>
      </w:r>
      <w:r>
        <w:t>)</w:t>
      </w:r>
    </w:p>
    <w:p w:rsidR="001E3CA8" w:rsidRDefault="001E3CA8" w:rsidP="001E3CA8">
      <w:r>
        <w:t xml:space="preserve">The stage-storage-surface area table for the EFDC grid was developed using the Storage Capacity Tool in ArcGIS ArcMap 10.5 Spatial Analyst extension. </w:t>
      </w:r>
      <w:r w:rsidRPr="00A65D58">
        <w:t>Lake elevation data was obtained from UDWR under the “Utah Lake Storage Content (Gage Reading)” station name.</w:t>
      </w:r>
      <w:r>
        <w:t xml:space="preserve"> </w:t>
      </w:r>
      <w:r w:rsidRPr="00A65D58">
        <w:t>The monthly change in storage (</w:t>
      </w:r>
      <w:r w:rsidRPr="00A65D58">
        <w:rPr>
          <w:rFonts w:cstheme="minorHAnsi"/>
          <w:i/>
        </w:rPr>
        <w:t>Δ</w:t>
      </w:r>
      <w:r w:rsidRPr="00A65D58">
        <w:rPr>
          <w:i/>
        </w:rPr>
        <w:t>S</w:t>
      </w:r>
      <w:r w:rsidRPr="00A65D58">
        <w:t xml:space="preserve">) was </w:t>
      </w:r>
      <w:r>
        <w:t xml:space="preserve">then </w:t>
      </w:r>
      <w:r w:rsidRPr="00A65D58">
        <w:t xml:space="preserve">calculated by </w:t>
      </w:r>
      <w:r>
        <w:t>using the lake elevation data to determine the storage content based on the stage-storage table for the EFDC grid.</w:t>
      </w:r>
    </w:p>
    <w:p w:rsidR="001E3CA8" w:rsidRDefault="001E3CA8" w:rsidP="001E3CA8">
      <w:r>
        <w:t xml:space="preserve">The precipitation volume, </w:t>
      </w:r>
      <w:r w:rsidRPr="00A65D58">
        <w:rPr>
          <w:i/>
        </w:rPr>
        <w:t>P</w:t>
      </w:r>
      <w:r>
        <w:t xml:space="preserve">, and evapotranspiration volume, </w:t>
      </w:r>
      <w:r w:rsidRPr="00A65D58">
        <w:rPr>
          <w:i/>
        </w:rPr>
        <w:t>ET</w:t>
      </w:r>
      <w:r>
        <w:t xml:space="preserve">, were calculated by multiplying the </w:t>
      </w:r>
      <w:r w:rsidRPr="00A65D58">
        <w:rPr>
          <w:i/>
        </w:rPr>
        <w:t>P</w:t>
      </w:r>
      <w:r>
        <w:t xml:space="preserve"> and </w:t>
      </w:r>
      <w:r w:rsidRPr="00A65D58">
        <w:rPr>
          <w:i/>
        </w:rPr>
        <w:t>ET</w:t>
      </w:r>
      <w:r>
        <w:t xml:space="preserve"> depth by the lake surface area obtained from the stage-surface area table.</w:t>
      </w:r>
      <w:r w:rsidR="008F7925">
        <w:t xml:space="preserve"> </w:t>
      </w:r>
      <w:r>
        <w:t>The p</w:t>
      </w:r>
      <w:r w:rsidRPr="00EB5EB1">
        <w:t>recipitation</w:t>
      </w:r>
      <w:r>
        <w:t xml:space="preserve"> </w:t>
      </w:r>
      <w:r w:rsidR="008F7925">
        <w:t xml:space="preserve">depth </w:t>
      </w:r>
      <w:r>
        <w:t>measured at the Provo BYU station was reduced to reflect that less rain falls on the lake relative to the east bench along the Wasatch Mountains. Using ArcGIS, the mean annual precipitation over Utah Lake was calculated using the Utah Lake boundary and PRISM 30-year normal (1981-2010) raster data. The precipitation measured at the Provo BYU station was then adjusted by the ratio of the mean annual precipitation over Utah Lake to the mean annual precipitation at Provo BYU station (0.705).</w:t>
      </w:r>
      <w:r w:rsidR="008F7925">
        <w:t xml:space="preserve"> </w:t>
      </w:r>
      <w:r>
        <w:t xml:space="preserve">The Priestley-Taylor method </w:t>
      </w:r>
      <w:r w:rsidR="008F7925">
        <w:t>was used to estimate evapotranspiration</w:t>
      </w:r>
      <w:r>
        <w:t xml:space="preserve"> depth from Utah Lake.</w:t>
      </w:r>
    </w:p>
    <w:p w:rsidR="008F7925" w:rsidRDefault="008F7925" w:rsidP="008F7925">
      <w:r>
        <w:t>Utah Lake has only one outflow location to the Jordan River. The Utah Division of Water Rights publishes outflow records for Utah Lake which were used to determine o</w:t>
      </w:r>
      <w:r w:rsidRPr="008F7925">
        <w:t xml:space="preserve">utflow, </w:t>
      </w:r>
      <w:r w:rsidRPr="008F7925">
        <w:rPr>
          <w:i/>
        </w:rPr>
        <w:t>Qo</w:t>
      </w:r>
      <w:r w:rsidRPr="008F7925">
        <w:t>,</w:t>
      </w:r>
      <w:r>
        <w:t>.</w:t>
      </w:r>
    </w:p>
    <w:p w:rsidR="008F7925" w:rsidRDefault="008F7925" w:rsidP="008F7925">
      <w:pPr>
        <w:spacing w:before="0" w:after="0" w:line="240" w:lineRule="auto"/>
        <w:ind w:left="360"/>
      </w:pPr>
      <w:r>
        <w:t>1.</w:t>
      </w:r>
      <w:r>
        <w:tab/>
        <w:t>For 9/1/2005-12/31/2008, monthly flow records for “Utah Lake Outflow” were used.</w:t>
      </w:r>
    </w:p>
    <w:p w:rsidR="001E3CA8" w:rsidRDefault="008F7925" w:rsidP="008F7925">
      <w:pPr>
        <w:spacing w:before="0" w:after="0" w:line="240" w:lineRule="auto"/>
        <w:ind w:left="360"/>
      </w:pPr>
      <w:r>
        <w:t>2.</w:t>
      </w:r>
      <w:r>
        <w:tab/>
        <w:t>For 1/1/2009-9/30/2018, daily flow records for “05 Jordan Narrows (Total)” were used.</w:t>
      </w:r>
    </w:p>
    <w:p w:rsidR="00E60448" w:rsidRDefault="00E60448" w:rsidP="001E3CA8">
      <w:r>
        <w:t xml:space="preserve">With all of the terms on the right hand side of the water balance equation, the total inflow to the lake was calculated, </w:t>
      </w:r>
      <w:r w:rsidRPr="00AC09FA">
        <w:rPr>
          <w:i/>
        </w:rPr>
        <w:t>Q</w:t>
      </w:r>
      <w:r w:rsidRPr="00AC09FA">
        <w:rPr>
          <w:i/>
          <w:vertAlign w:val="subscript"/>
        </w:rPr>
        <w:t>I</w:t>
      </w:r>
      <w:r w:rsidRPr="00E60448">
        <w:rPr>
          <w:i/>
        </w:rPr>
        <w:t>.</w:t>
      </w:r>
      <w:r>
        <w:t xml:space="preserve"> The total inflow can be </w:t>
      </w:r>
      <w:r w:rsidR="00DD0519">
        <w:t>further sub</w:t>
      </w:r>
      <w:r>
        <w:t xml:space="preserve">divided into the following components: </w:t>
      </w:r>
    </w:p>
    <w:p w:rsidR="00E60448" w:rsidRPr="00E60448" w:rsidRDefault="00D2279D" w:rsidP="001E3CA8">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US</m:t>
              </m:r>
            </m:sub>
          </m:sSub>
        </m:oMath>
      </m:oMathPara>
    </w:p>
    <w:p w:rsidR="00774B7B" w:rsidRPr="00AC09FA" w:rsidRDefault="00774B7B" w:rsidP="00774B7B">
      <w:pPr>
        <w:ind w:left="2880"/>
      </w:pPr>
      <w:r>
        <w:t>With,</w:t>
      </w:r>
      <w:r>
        <w:tab/>
      </w:r>
      <w:r w:rsidRPr="00AC09FA">
        <w:rPr>
          <w:i/>
        </w:rPr>
        <w:t>Q</w:t>
      </w:r>
      <w:r w:rsidRPr="00AC09FA">
        <w:rPr>
          <w:i/>
          <w:vertAlign w:val="subscript"/>
        </w:rPr>
        <w:t>I</w:t>
      </w:r>
      <w:r>
        <w:t xml:space="preserve"> = total inflow (m</w:t>
      </w:r>
      <w:r w:rsidRPr="00C623FC">
        <w:rPr>
          <w:vertAlign w:val="superscript"/>
        </w:rPr>
        <w:t>3</w:t>
      </w:r>
      <w:r>
        <w:t>)</w:t>
      </w:r>
      <w:r>
        <w:br/>
      </w:r>
      <w:r>
        <w:tab/>
      </w:r>
      <m:oMath>
        <m:sSub>
          <m:sSubPr>
            <m:ctrlPr>
              <w:rPr>
                <w:rFonts w:ascii="Cambria Math" w:hAnsi="Cambria Math"/>
                <w:i/>
              </w:rPr>
            </m:ctrlPr>
          </m:sSubPr>
          <m:e>
            <m:r>
              <w:rPr>
                <w:rFonts w:ascii="Cambria Math" w:hAnsi="Cambria Math"/>
              </w:rPr>
              <m:t>Q</m:t>
            </m:r>
          </m:e>
          <m:sub>
            <m:r>
              <w:rPr>
                <w:rFonts w:ascii="Cambria Math" w:hAnsi="Cambria Math"/>
              </w:rPr>
              <m:t>GW</m:t>
            </m:r>
          </m:sub>
        </m:sSub>
      </m:oMath>
      <w:r>
        <w:t xml:space="preserve"> = groundwater inflow (m</w:t>
      </w:r>
      <w:r w:rsidRPr="00C623FC">
        <w:rPr>
          <w:vertAlign w:val="superscript"/>
        </w:rPr>
        <w:t>3</w:t>
      </w:r>
      <w:r>
        <w:t>)</w:t>
      </w:r>
      <w:r>
        <w:br/>
      </w:r>
      <w:r>
        <w:tab/>
      </w:r>
      <w:r w:rsidRPr="00AC09FA">
        <w:rPr>
          <w:i/>
        </w:rPr>
        <w:t>Q</w:t>
      </w:r>
      <w:r>
        <w:rPr>
          <w:i/>
          <w:vertAlign w:val="subscript"/>
        </w:rPr>
        <w:t>WW</w:t>
      </w:r>
      <w:r>
        <w:t xml:space="preserve"> = treated wastewater inflow (m</w:t>
      </w:r>
      <w:r w:rsidRPr="00C623FC">
        <w:rPr>
          <w:vertAlign w:val="superscript"/>
        </w:rPr>
        <w:t>3</w:t>
      </w:r>
      <w:r>
        <w:t>)</w:t>
      </w:r>
      <w:r>
        <w:br/>
      </w:r>
      <w:r>
        <w:tab/>
      </w:r>
      <m:oMath>
        <m:sSub>
          <m:sSubPr>
            <m:ctrlPr>
              <w:rPr>
                <w:rFonts w:ascii="Cambria Math" w:hAnsi="Cambria Math"/>
                <w:i/>
              </w:rPr>
            </m:ctrlPr>
          </m:sSubPr>
          <m:e>
            <m:r>
              <w:rPr>
                <w:rFonts w:ascii="Cambria Math" w:hAnsi="Cambria Math"/>
              </w:rPr>
              <m:t>Q</m:t>
            </m:r>
          </m:e>
          <m:sub>
            <m:r>
              <w:rPr>
                <w:rFonts w:ascii="Cambria Math" w:hAnsi="Cambria Math"/>
              </w:rPr>
              <m:t>GS</m:t>
            </m:r>
          </m:sub>
        </m:sSub>
      </m:oMath>
      <w:r>
        <w:t xml:space="preserve"> = gaged </w:t>
      </w:r>
      <w:r w:rsidR="00DD0519">
        <w:t>surface in</w:t>
      </w:r>
      <w:r>
        <w:t>flow (m</w:t>
      </w:r>
      <w:r w:rsidRPr="00C623FC">
        <w:rPr>
          <w:vertAlign w:val="superscript"/>
        </w:rPr>
        <w:t>3</w:t>
      </w:r>
      <w:r>
        <w:t>)</w:t>
      </w:r>
      <w:r>
        <w:br/>
      </w:r>
      <w:r>
        <w:tab/>
      </w:r>
      <m:oMath>
        <m:sSub>
          <m:sSubPr>
            <m:ctrlPr>
              <w:rPr>
                <w:rFonts w:ascii="Cambria Math" w:hAnsi="Cambria Math"/>
                <w:i/>
              </w:rPr>
            </m:ctrlPr>
          </m:sSubPr>
          <m:e>
            <m:r>
              <w:rPr>
                <w:rFonts w:ascii="Cambria Math" w:hAnsi="Cambria Math"/>
              </w:rPr>
              <m:t>Q</m:t>
            </m:r>
          </m:e>
          <m:sub>
            <m:r>
              <w:rPr>
                <w:rFonts w:ascii="Cambria Math" w:hAnsi="Cambria Math"/>
              </w:rPr>
              <m:t>US</m:t>
            </m:r>
          </m:sub>
        </m:sSub>
      </m:oMath>
      <w:r>
        <w:t xml:space="preserve"> = ungaged surface inflow (m</w:t>
      </w:r>
      <w:r w:rsidRPr="00C623FC">
        <w:rPr>
          <w:vertAlign w:val="superscript"/>
        </w:rPr>
        <w:t>3</w:t>
      </w:r>
      <w:r>
        <w:t>)</w:t>
      </w:r>
    </w:p>
    <w:p w:rsidR="001E3CA8" w:rsidRDefault="001E3CA8" w:rsidP="001E3CA8">
      <w:bookmarkStart w:id="0" w:name="_GoBack"/>
      <w:bookmarkEnd w:id="0"/>
      <w:r>
        <w:t>Only two of the surface inflows were actively gaged during the period: Provo River and Hobble Creek. The flows from the wastewater treatment plants (WWTP) were based on monthly Discharge Monitoring Reports (DMR) submitted to Utah Division of Water Quality (UDWQ). Constant mean annual rates were used for the groundwater inputs, based on estimates published by the USGS.</w:t>
      </w:r>
      <w:r w:rsidRPr="001E3CA8">
        <w:t xml:space="preserve"> All other surface water, stormwater, and irrigation return flows were ungag</w:t>
      </w:r>
      <w:r>
        <w:t>ed and unknown during the period</w:t>
      </w:r>
      <w:r w:rsidRPr="001E3CA8">
        <w:t>.</w:t>
      </w:r>
    </w:p>
    <w:p w:rsidR="0054069F" w:rsidRDefault="0054069F" w:rsidP="0098315E">
      <w:pPr>
        <w:spacing w:after="0"/>
        <w:rPr>
          <w:b/>
        </w:rPr>
      </w:pPr>
    </w:p>
    <w:p w:rsidR="001E3CA8" w:rsidRDefault="0098315E" w:rsidP="0098315E">
      <w:pPr>
        <w:spacing w:after="0"/>
        <w:rPr>
          <w:b/>
        </w:rPr>
      </w:pPr>
      <w:r>
        <w:rPr>
          <w:b/>
        </w:rPr>
        <w:lastRenderedPageBreak/>
        <w:t>Utah Lake Flow Volumes (ac-ft)</w:t>
      </w:r>
    </w:p>
    <w:tbl>
      <w:tblPr>
        <w:tblW w:w="9180" w:type="dxa"/>
        <w:tblInd w:w="108" w:type="dxa"/>
        <w:tblLayout w:type="fixed"/>
        <w:tblLook w:val="04A0" w:firstRow="1" w:lastRow="0" w:firstColumn="1" w:lastColumn="0" w:noHBand="0" w:noVBand="1"/>
      </w:tblPr>
      <w:tblGrid>
        <w:gridCol w:w="809"/>
        <w:gridCol w:w="809"/>
        <w:gridCol w:w="900"/>
        <w:gridCol w:w="900"/>
        <w:gridCol w:w="990"/>
        <w:gridCol w:w="902"/>
        <w:gridCol w:w="1080"/>
        <w:gridCol w:w="900"/>
        <w:gridCol w:w="900"/>
        <w:gridCol w:w="990"/>
      </w:tblGrid>
      <w:tr w:rsidR="0098315E" w:rsidRPr="0098315E" w:rsidTr="0098315E">
        <w:trPr>
          <w:trHeight w:val="375"/>
        </w:trPr>
        <w:tc>
          <w:tcPr>
            <w:tcW w:w="809" w:type="dxa"/>
            <w:vMerge w:val="restart"/>
            <w:tcBorders>
              <w:top w:val="single" w:sz="4" w:space="0" w:color="auto"/>
              <w:left w:val="single" w:sz="4" w:space="0" w:color="auto"/>
              <w:right w:val="single" w:sz="4" w:space="0" w:color="auto"/>
            </w:tcBorders>
            <w:shd w:val="clear" w:color="auto" w:fill="auto"/>
            <w:noWrap/>
            <w:vAlign w:val="center"/>
            <w:hideMark/>
          </w:tcPr>
          <w:p w:rsidR="0098315E" w:rsidRPr="0098315E" w:rsidRDefault="0098315E" w:rsidP="0098315E">
            <w:pPr>
              <w:spacing w:before="0" w:after="0" w:line="240" w:lineRule="auto"/>
              <w:jc w:val="center"/>
              <w:rPr>
                <w:rFonts w:eastAsia="Times New Roman" w:cstheme="minorHAnsi"/>
                <w:b/>
                <w:bCs/>
                <w:color w:val="000000"/>
              </w:rPr>
            </w:pPr>
            <w:r w:rsidRPr="0098315E">
              <w:rPr>
                <w:rFonts w:eastAsia="Times New Roman" w:cstheme="minorHAnsi"/>
                <w:b/>
                <w:color w:val="000000"/>
              </w:rPr>
              <w:t>Water Year</w:t>
            </w:r>
          </w:p>
        </w:tc>
        <w:tc>
          <w:tcPr>
            <w:tcW w:w="558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Inflows</w:t>
            </w:r>
          </w:p>
        </w:tc>
        <w:tc>
          <w:tcPr>
            <w:tcW w:w="279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Outflows</w:t>
            </w:r>
          </w:p>
        </w:tc>
      </w:tr>
      <w:tr w:rsidR="0098315E" w:rsidRPr="0098315E" w:rsidTr="0098315E">
        <w:trPr>
          <w:trHeight w:val="600"/>
        </w:trPr>
        <w:tc>
          <w:tcPr>
            <w:tcW w:w="809" w:type="dxa"/>
            <w:vMerge/>
            <w:tcBorders>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p>
        </w:tc>
        <w:tc>
          <w:tcPr>
            <w:tcW w:w="8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WWTP</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Ground-water</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Gaged Surface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Ungaged Surface</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Precip</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Inflow Total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Jordan River</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Evap</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315E" w:rsidRPr="0098315E" w:rsidRDefault="0098315E" w:rsidP="0098315E">
            <w:pPr>
              <w:spacing w:before="0" w:after="0" w:line="240" w:lineRule="auto"/>
              <w:jc w:val="center"/>
              <w:rPr>
                <w:rFonts w:eastAsia="Times New Roman" w:cstheme="minorHAnsi"/>
                <w:b/>
                <w:color w:val="000000"/>
              </w:rPr>
            </w:pPr>
            <w:r w:rsidRPr="0098315E">
              <w:rPr>
                <w:rFonts w:eastAsia="Times New Roman" w:cstheme="minorHAnsi"/>
                <w:b/>
                <w:color w:val="000000"/>
              </w:rPr>
              <w:t>Total Outflow</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2006</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51,023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199,825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346,141</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104,688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740,358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303,760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335,193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638,953</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2007</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51,416</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136,990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151,791</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74,998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453,877</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235,100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320,490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555,590</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2008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54,884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38,788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125,067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192,191</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74,067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484,998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172,200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298,180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470,380</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2009</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59,694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186,898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274,645</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109,107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669,026</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267,298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299,927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567,225</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2010</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58,463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119,003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207,948</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83,297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507,394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280,623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314,165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594,788</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2011</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63,665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425,952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468,173</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148,767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1,145,239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589,183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333,138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922,321</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2012</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57,291</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38,788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157,922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148,410</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59,316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461,726</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423,397</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329,905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753,301</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2013</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57,053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71,998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151,346</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69,980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389,060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159,943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300,383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460,326</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2014</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57,461</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71,986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136,355</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88,049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392,534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164,238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289,574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453,812</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2015</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54,967</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64,875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116,905</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79,065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354,494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142,605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286,916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429,521</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2016</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54,838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38,788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64,505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105,238</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70,172</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333,542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129,295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277,539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406,834</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2017</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54,556</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262,324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205,972</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88,715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650,249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126,110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331,444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457,554</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2018</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52,494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38,682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103,336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87,255</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45,803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327,571</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145,961</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256,751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402,712</w:t>
            </w:r>
          </w:p>
        </w:tc>
      </w:tr>
      <w:tr w:rsidR="0098315E" w:rsidRPr="0098315E" w:rsidTr="0098315E">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center"/>
              <w:rPr>
                <w:rFonts w:eastAsia="Times New Roman" w:cstheme="minorHAnsi"/>
                <w:color w:val="000000"/>
              </w:rPr>
            </w:pPr>
            <w:r w:rsidRPr="0098315E">
              <w:rPr>
                <w:rFonts w:eastAsia="Times New Roman" w:cstheme="minorHAnsi"/>
                <w:color w:val="000000"/>
              </w:rPr>
              <w:t>Mean</w:t>
            </w:r>
          </w:p>
        </w:tc>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56,432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38,711</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147,729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209,013</w:t>
            </w:r>
          </w:p>
        </w:tc>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87,410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539,295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260,695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color w:val="000000"/>
              </w:rPr>
            </w:pPr>
            <w:r w:rsidRPr="0098315E">
              <w:rPr>
                <w:rFonts w:eastAsia="Times New Roman" w:cstheme="minorHAnsi"/>
                <w:color w:val="000000"/>
              </w:rPr>
              <w:t>307,764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15E" w:rsidRPr="0098315E" w:rsidRDefault="0098315E" w:rsidP="0098315E">
            <w:pPr>
              <w:spacing w:before="0" w:after="0" w:line="240" w:lineRule="auto"/>
              <w:jc w:val="right"/>
              <w:rPr>
                <w:rFonts w:eastAsia="Times New Roman" w:cstheme="minorHAnsi"/>
                <w:i/>
                <w:color w:val="000000"/>
              </w:rPr>
            </w:pPr>
            <w:r w:rsidRPr="0098315E">
              <w:rPr>
                <w:rFonts w:eastAsia="Times New Roman" w:cstheme="minorHAnsi"/>
                <w:i/>
                <w:color w:val="000000"/>
              </w:rPr>
              <w:t>568,459</w:t>
            </w:r>
          </w:p>
        </w:tc>
      </w:tr>
    </w:tbl>
    <w:p w:rsidR="0098315E" w:rsidRDefault="0098315E">
      <w:pPr>
        <w:rPr>
          <w:b/>
        </w:rPr>
      </w:pPr>
    </w:p>
    <w:p w:rsidR="000F0242" w:rsidRDefault="000F0242">
      <w:pPr>
        <w:rPr>
          <w:b/>
        </w:rPr>
      </w:pPr>
      <w:r>
        <w:rPr>
          <w:b/>
          <w:noProof/>
        </w:rPr>
        <w:drawing>
          <wp:inline distT="0" distB="0" distL="0" distR="0" wp14:anchorId="2D4B04F7">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98315E" w:rsidRPr="0019486E" w:rsidRDefault="000F0242">
      <w:pPr>
        <w:rPr>
          <w:b/>
        </w:rPr>
      </w:pPr>
      <w:r>
        <w:rPr>
          <w:b/>
          <w:noProof/>
        </w:rPr>
        <w:lastRenderedPageBreak/>
        <w:drawing>
          <wp:inline distT="0" distB="0" distL="0" distR="0" wp14:anchorId="3D5CD9E2">
            <wp:extent cx="4584700" cy="2755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381BA8" w:rsidRDefault="00381BA8"/>
    <w:p w:rsidR="00B114DC" w:rsidRPr="0054069F" w:rsidRDefault="0054069F">
      <w:pPr>
        <w:rPr>
          <w:b/>
        </w:rPr>
      </w:pPr>
      <w:r w:rsidRPr="0054069F">
        <w:rPr>
          <w:b/>
        </w:rPr>
        <w:t>References</w:t>
      </w:r>
    </w:p>
    <w:p w:rsidR="00381BA8" w:rsidRDefault="00381BA8" w:rsidP="00381BA8">
      <w:r>
        <w:t xml:space="preserve">Brooks, L. E. and Stolp, B. J. 1995. </w:t>
      </w:r>
      <w:r w:rsidRPr="00BD72F4">
        <w:t xml:space="preserve">Hydrology </w:t>
      </w:r>
      <w:r>
        <w:t>and Simulation of Ground-water F</w:t>
      </w:r>
      <w:r w:rsidRPr="00BD72F4">
        <w:t>low in Southern Utah Valley and Goshen Valley , Utah</w:t>
      </w:r>
      <w:r>
        <w:t xml:space="preserve"> United States Geological Survey.</w:t>
      </w:r>
    </w:p>
    <w:p w:rsidR="00381BA8" w:rsidRDefault="00381BA8" w:rsidP="00381BA8">
      <w:r>
        <w:t>Brooks, L. E. 2013</w:t>
      </w:r>
      <w:r w:rsidRPr="005E2210">
        <w:t>. Evaluation of the groundwater flow model for southern Utah and Goshen Valleys, Utah, updated to conditions through 2011, with new projections and groundwater management simulations.</w:t>
      </w:r>
      <w:r>
        <w:t xml:space="preserve"> United States Geological Survey.</w:t>
      </w:r>
    </w:p>
    <w:p w:rsidR="00381BA8" w:rsidRDefault="00381BA8" w:rsidP="00381BA8">
      <w:r w:rsidRPr="00BD72F4">
        <w:t xml:space="preserve">Cederberg, J. R., Gardner, P. M. &amp; Thiros, S. A. </w:t>
      </w:r>
      <w:r>
        <w:t xml:space="preserve">2009. </w:t>
      </w:r>
      <w:r w:rsidRPr="00BD72F4">
        <w:t>Hydrology of Northern Utah Valley, Utah County, Utah, 19</w:t>
      </w:r>
      <w:r>
        <w:t>75-2005. United States</w:t>
      </w:r>
      <w:r w:rsidRPr="00BD72F4">
        <w:t xml:space="preserve"> Geological Survey.</w:t>
      </w:r>
    </w:p>
    <w:p w:rsidR="00381BA8" w:rsidRDefault="00381BA8"/>
    <w:sectPr w:rsidR="00381BA8">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79D" w:rsidRDefault="00D2279D" w:rsidP="0054069F">
      <w:pPr>
        <w:spacing w:before="0" w:after="0" w:line="240" w:lineRule="auto"/>
      </w:pPr>
      <w:r>
        <w:separator/>
      </w:r>
    </w:p>
  </w:endnote>
  <w:endnote w:type="continuationSeparator" w:id="0">
    <w:p w:rsidR="00D2279D" w:rsidRDefault="00D2279D" w:rsidP="005406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79D" w:rsidRDefault="00D2279D">
    <w:pPr>
      <w:pStyle w:val="Footer"/>
    </w:pPr>
    <w:r>
      <w:tab/>
    </w:r>
    <w:r>
      <w:fldChar w:fldCharType="begin"/>
    </w:r>
    <w:r>
      <w:instrText xml:space="preserve"> PAGE   \* MERGEFORMAT </w:instrText>
    </w:r>
    <w:r>
      <w:fldChar w:fldCharType="separate"/>
    </w:r>
    <w:r w:rsidR="004C6840">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79D" w:rsidRDefault="00D2279D" w:rsidP="0054069F">
      <w:pPr>
        <w:spacing w:before="0" w:after="0" w:line="240" w:lineRule="auto"/>
      </w:pPr>
      <w:r>
        <w:separator/>
      </w:r>
    </w:p>
  </w:footnote>
  <w:footnote w:type="continuationSeparator" w:id="0">
    <w:p w:rsidR="00D2279D" w:rsidRDefault="00D2279D" w:rsidP="0054069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79D" w:rsidRDefault="00D2279D">
    <w:pPr>
      <w:pStyle w:val="Header"/>
    </w:pPr>
    <w:r>
      <w:t>Utah Lake Groundwater Summary</w:t>
    </w:r>
  </w:p>
  <w:p w:rsidR="00D2279D" w:rsidRDefault="00D2279D">
    <w:pPr>
      <w:pStyle w:val="Header"/>
    </w:pPr>
    <w:r>
      <w:t>2/14/2020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BA8"/>
    <w:rsid w:val="00015B57"/>
    <w:rsid w:val="000B5E50"/>
    <w:rsid w:val="000F0242"/>
    <w:rsid w:val="0019486E"/>
    <w:rsid w:val="001E3CA8"/>
    <w:rsid w:val="002959B6"/>
    <w:rsid w:val="002A2CD9"/>
    <w:rsid w:val="00381BA8"/>
    <w:rsid w:val="004C6840"/>
    <w:rsid w:val="0054069F"/>
    <w:rsid w:val="005F0720"/>
    <w:rsid w:val="006823EC"/>
    <w:rsid w:val="00774B7B"/>
    <w:rsid w:val="008F7925"/>
    <w:rsid w:val="00932EE6"/>
    <w:rsid w:val="0098315E"/>
    <w:rsid w:val="00B114DC"/>
    <w:rsid w:val="00D2279D"/>
    <w:rsid w:val="00D44D07"/>
    <w:rsid w:val="00DD0519"/>
    <w:rsid w:val="00E60448"/>
    <w:rsid w:val="00E72F10"/>
    <w:rsid w:val="00F1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BA8"/>
    <w:pPr>
      <w:spacing w:before="200"/>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4D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4DC"/>
    <w:rPr>
      <w:rFonts w:ascii="Tahoma" w:eastAsiaTheme="minorEastAsia" w:hAnsi="Tahoma" w:cs="Tahoma"/>
      <w:sz w:val="16"/>
      <w:szCs w:val="16"/>
    </w:rPr>
  </w:style>
  <w:style w:type="table" w:styleId="TableGrid">
    <w:name w:val="Table Grid"/>
    <w:basedOn w:val="TableNormal"/>
    <w:uiPriority w:val="59"/>
    <w:rsid w:val="001E3CA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basedOn w:val="Normal"/>
    <w:qFormat/>
    <w:rsid w:val="001E3CA8"/>
    <w:pPr>
      <w:spacing w:before="0" w:after="0" w:line="240" w:lineRule="auto"/>
    </w:pPr>
    <w:rPr>
      <w:b/>
    </w:rPr>
  </w:style>
  <w:style w:type="character" w:styleId="PlaceholderText">
    <w:name w:val="Placeholder Text"/>
    <w:basedOn w:val="DefaultParagraphFont"/>
    <w:uiPriority w:val="99"/>
    <w:semiHidden/>
    <w:rsid w:val="00E60448"/>
    <w:rPr>
      <w:color w:val="808080"/>
    </w:rPr>
  </w:style>
  <w:style w:type="paragraph" w:styleId="Header">
    <w:name w:val="header"/>
    <w:basedOn w:val="Normal"/>
    <w:link w:val="HeaderChar"/>
    <w:uiPriority w:val="99"/>
    <w:unhideWhenUsed/>
    <w:rsid w:val="0054069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069F"/>
    <w:rPr>
      <w:rFonts w:eastAsiaTheme="minorEastAsia"/>
      <w:sz w:val="20"/>
      <w:szCs w:val="20"/>
    </w:rPr>
  </w:style>
  <w:style w:type="paragraph" w:styleId="Footer">
    <w:name w:val="footer"/>
    <w:basedOn w:val="Normal"/>
    <w:link w:val="FooterChar"/>
    <w:uiPriority w:val="99"/>
    <w:unhideWhenUsed/>
    <w:rsid w:val="0054069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069F"/>
    <w:rPr>
      <w:rFonts w:eastAsiaTheme="minorEastAsi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BA8"/>
    <w:pPr>
      <w:spacing w:before="200"/>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4D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4DC"/>
    <w:rPr>
      <w:rFonts w:ascii="Tahoma" w:eastAsiaTheme="minorEastAsia" w:hAnsi="Tahoma" w:cs="Tahoma"/>
      <w:sz w:val="16"/>
      <w:szCs w:val="16"/>
    </w:rPr>
  </w:style>
  <w:style w:type="table" w:styleId="TableGrid">
    <w:name w:val="Table Grid"/>
    <w:basedOn w:val="TableNormal"/>
    <w:uiPriority w:val="59"/>
    <w:rsid w:val="001E3CA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basedOn w:val="Normal"/>
    <w:qFormat/>
    <w:rsid w:val="001E3CA8"/>
    <w:pPr>
      <w:spacing w:before="0" w:after="0" w:line="240" w:lineRule="auto"/>
    </w:pPr>
    <w:rPr>
      <w:b/>
    </w:rPr>
  </w:style>
  <w:style w:type="character" w:styleId="PlaceholderText">
    <w:name w:val="Placeholder Text"/>
    <w:basedOn w:val="DefaultParagraphFont"/>
    <w:uiPriority w:val="99"/>
    <w:semiHidden/>
    <w:rsid w:val="00E60448"/>
    <w:rPr>
      <w:color w:val="808080"/>
    </w:rPr>
  </w:style>
  <w:style w:type="paragraph" w:styleId="Header">
    <w:name w:val="header"/>
    <w:basedOn w:val="Normal"/>
    <w:link w:val="HeaderChar"/>
    <w:uiPriority w:val="99"/>
    <w:unhideWhenUsed/>
    <w:rsid w:val="0054069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069F"/>
    <w:rPr>
      <w:rFonts w:eastAsiaTheme="minorEastAsia"/>
      <w:sz w:val="20"/>
      <w:szCs w:val="20"/>
    </w:rPr>
  </w:style>
  <w:style w:type="paragraph" w:styleId="Footer">
    <w:name w:val="footer"/>
    <w:basedOn w:val="Normal"/>
    <w:link w:val="FooterChar"/>
    <w:uiPriority w:val="99"/>
    <w:unhideWhenUsed/>
    <w:rsid w:val="0054069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069F"/>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53649">
      <w:bodyDiv w:val="1"/>
      <w:marLeft w:val="0"/>
      <w:marRight w:val="0"/>
      <w:marTop w:val="0"/>
      <w:marBottom w:val="0"/>
      <w:divBdr>
        <w:top w:val="none" w:sz="0" w:space="0" w:color="auto"/>
        <w:left w:val="none" w:sz="0" w:space="0" w:color="auto"/>
        <w:bottom w:val="none" w:sz="0" w:space="0" w:color="auto"/>
        <w:right w:val="none" w:sz="0" w:space="0" w:color="auto"/>
      </w:divBdr>
    </w:div>
    <w:div w:id="42253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7</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State of Utah</Company>
  <LinksUpToDate>false</LinksUpToDate>
  <CharactersWithSpaces>6043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Von Stackelberg</dc:creator>
  <cp:lastModifiedBy>Nicholas Von Stackelberg</cp:lastModifiedBy>
  <cp:revision>10</cp:revision>
  <dcterms:created xsi:type="dcterms:W3CDTF">2020-02-14T14:29:00Z</dcterms:created>
  <dcterms:modified xsi:type="dcterms:W3CDTF">2020-02-15T15:01:00Z</dcterms:modified>
</cp:coreProperties>
</file>