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F6606" w14:textId="77777777" w:rsidR="0094498D" w:rsidRDefault="0094498D" w:rsidP="0094498D">
      <w:pPr>
        <w:jc w:val="both"/>
        <w:rPr>
          <w:rFonts w:ascii="Arial" w:hAnsi="Arial" w:cs="Arial"/>
          <w:b/>
          <w:bCs/>
          <w:color w:val="000000" w:themeColor="text1"/>
          <w:lang w:val="es-ES"/>
        </w:rPr>
      </w:pPr>
      <w:r w:rsidRPr="0094498D">
        <w:rPr>
          <w:rFonts w:ascii="Arial" w:hAnsi="Arial" w:cs="Arial"/>
          <w:b/>
          <w:bCs/>
          <w:color w:val="000000" w:themeColor="text1"/>
          <w:lang w:val="es-ES"/>
        </w:rPr>
        <w:t>El gráfico de barras muestra el uso mensual total de los medicamentos A y B desde julio hasta noviembre de 2012.</w:t>
      </w:r>
    </w:p>
    <w:p w14:paraId="58FC2BD5" w14:textId="4252DBFA" w:rsidR="0094498D" w:rsidRPr="0094498D" w:rsidRDefault="0094498D" w:rsidP="0094498D">
      <w:pPr>
        <w:jc w:val="both"/>
        <w:rPr>
          <w:rFonts w:ascii="Arial" w:hAnsi="Arial" w:cs="Arial"/>
          <w:color w:val="000000" w:themeColor="text1"/>
          <w:lang w:val="es-ES"/>
        </w:rPr>
      </w:pPr>
      <w:r>
        <w:rPr>
          <w:rFonts w:ascii="Arial" w:hAnsi="Arial" w:cs="Arial"/>
          <w:b/>
          <w:bCs/>
          <w:color w:val="000000" w:themeColor="text1"/>
          <w:lang w:val="es-ES"/>
        </w:rPr>
        <w:t xml:space="preserve">Enlace: </w:t>
      </w:r>
      <w:hyperlink r:id="rId5" w:history="1">
        <w:r w:rsidRPr="0094498D">
          <w:rPr>
            <w:rStyle w:val="Hipervnculo"/>
            <w:rFonts w:ascii="Arial" w:hAnsi="Arial" w:cs="Arial"/>
            <w:b/>
            <w:bCs/>
          </w:rPr>
          <w:t>Conjunto de datos de ensayos médicos (kaggle.com)</w:t>
        </w:r>
      </w:hyperlink>
    </w:p>
    <w:p w14:paraId="77A9C313" w14:textId="77777777" w:rsidR="0094498D" w:rsidRDefault="0094498D" w:rsidP="0094498D">
      <w:pPr>
        <w:jc w:val="both"/>
        <w:rPr>
          <w:rFonts w:ascii="Arial" w:hAnsi="Arial" w:cs="Arial"/>
          <w:b/>
          <w:bCs/>
          <w:color w:val="000000" w:themeColor="text1"/>
          <w:lang w:val="es-ES"/>
        </w:rPr>
      </w:pPr>
      <w:r w:rsidRPr="0094498D">
        <w:rPr>
          <w:rFonts w:ascii="Arial" w:hAnsi="Arial" w:cs="Arial"/>
          <w:b/>
          <w:bCs/>
          <w:color w:val="000000" w:themeColor="text1"/>
          <w:lang w:val="es-ES"/>
        </w:rPr>
        <w:t>Medicamento A:</w:t>
      </w:r>
    </w:p>
    <w:p w14:paraId="46ADBA5F" w14:textId="77777777" w:rsidR="0094498D" w:rsidRPr="0094498D" w:rsidRDefault="0094498D" w:rsidP="0094498D">
      <w:pPr>
        <w:numPr>
          <w:ilvl w:val="0"/>
          <w:numId w:val="2"/>
        </w:numPr>
        <w:jc w:val="both"/>
        <w:rPr>
          <w:rFonts w:ascii="Arial" w:hAnsi="Arial" w:cs="Arial"/>
          <w:color w:val="000000" w:themeColor="text1"/>
          <w:lang w:val="es-ES"/>
        </w:rPr>
      </w:pPr>
      <w:r w:rsidRPr="0094498D">
        <w:rPr>
          <w:rFonts w:ascii="Arial" w:hAnsi="Arial" w:cs="Arial"/>
          <w:color w:val="000000" w:themeColor="text1"/>
          <w:lang w:val="es-ES"/>
        </w:rPr>
        <w:t>En julio, el uso es considerable (300 unidades), con un descenso en agosto (270 unidades).</w:t>
      </w:r>
    </w:p>
    <w:p w14:paraId="11D39BC4" w14:textId="77777777" w:rsidR="0094498D" w:rsidRPr="0094498D" w:rsidRDefault="0094498D" w:rsidP="0094498D">
      <w:pPr>
        <w:numPr>
          <w:ilvl w:val="0"/>
          <w:numId w:val="2"/>
        </w:numPr>
        <w:jc w:val="both"/>
        <w:rPr>
          <w:rFonts w:ascii="Arial" w:hAnsi="Arial" w:cs="Arial"/>
          <w:color w:val="000000" w:themeColor="text1"/>
          <w:lang w:val="es-ES"/>
        </w:rPr>
      </w:pPr>
      <w:r w:rsidRPr="0094498D">
        <w:rPr>
          <w:rFonts w:ascii="Arial" w:hAnsi="Arial" w:cs="Arial"/>
          <w:color w:val="000000" w:themeColor="text1"/>
          <w:lang w:val="es-ES"/>
        </w:rPr>
        <w:t>En septiembre, su uso cae drásticamente a 0 unidades.</w:t>
      </w:r>
    </w:p>
    <w:p w14:paraId="7E0B6C17" w14:textId="77777777" w:rsidR="0094498D" w:rsidRPr="0094498D" w:rsidRDefault="0094498D" w:rsidP="0094498D">
      <w:pPr>
        <w:numPr>
          <w:ilvl w:val="0"/>
          <w:numId w:val="2"/>
        </w:numPr>
        <w:jc w:val="both"/>
        <w:rPr>
          <w:rFonts w:ascii="Arial" w:hAnsi="Arial" w:cs="Arial"/>
          <w:color w:val="000000" w:themeColor="text1"/>
          <w:lang w:val="es-ES"/>
        </w:rPr>
      </w:pPr>
      <w:r w:rsidRPr="0094498D">
        <w:rPr>
          <w:rFonts w:ascii="Arial" w:hAnsi="Arial" w:cs="Arial"/>
          <w:color w:val="000000" w:themeColor="text1"/>
          <w:lang w:val="es-ES"/>
        </w:rPr>
        <w:t>Luego, en octubre, se administra nuevamente una gran cantidad (320 unidades), y finalmente en noviembre, su uso vuelve a ser 0.</w:t>
      </w:r>
    </w:p>
    <w:p w14:paraId="173EAFE9" w14:textId="77777777" w:rsidR="0094498D" w:rsidRPr="0094498D" w:rsidRDefault="0094498D" w:rsidP="0094498D">
      <w:pPr>
        <w:jc w:val="both"/>
        <w:rPr>
          <w:rFonts w:ascii="Arial" w:hAnsi="Arial" w:cs="Arial"/>
          <w:b/>
          <w:bCs/>
          <w:color w:val="000000" w:themeColor="text1"/>
          <w:lang w:val="es-ES"/>
        </w:rPr>
      </w:pPr>
      <w:r w:rsidRPr="0094498D">
        <w:rPr>
          <w:rFonts w:ascii="Arial" w:hAnsi="Arial" w:cs="Arial"/>
          <w:b/>
          <w:bCs/>
          <w:color w:val="000000" w:themeColor="text1"/>
          <w:lang w:val="es-ES"/>
        </w:rPr>
        <w:t>Medicamento B:</w:t>
      </w:r>
    </w:p>
    <w:p w14:paraId="5AEF335E" w14:textId="77777777" w:rsidR="0094498D" w:rsidRPr="0094498D" w:rsidRDefault="0094498D" w:rsidP="0094498D">
      <w:pPr>
        <w:numPr>
          <w:ilvl w:val="0"/>
          <w:numId w:val="3"/>
        </w:numPr>
        <w:jc w:val="both"/>
        <w:rPr>
          <w:rFonts w:ascii="Arial" w:hAnsi="Arial" w:cs="Arial"/>
          <w:color w:val="000000" w:themeColor="text1"/>
          <w:lang w:val="es-ES"/>
        </w:rPr>
      </w:pPr>
      <w:r w:rsidRPr="0094498D">
        <w:rPr>
          <w:rFonts w:ascii="Arial" w:hAnsi="Arial" w:cs="Arial"/>
          <w:color w:val="000000" w:themeColor="text1"/>
          <w:lang w:val="es-ES"/>
        </w:rPr>
        <w:t>Tiene un menor uso general comparado con el medicamento A.</w:t>
      </w:r>
    </w:p>
    <w:p w14:paraId="2592800E" w14:textId="77777777" w:rsidR="0094498D" w:rsidRPr="0094498D" w:rsidRDefault="0094498D" w:rsidP="0094498D">
      <w:pPr>
        <w:numPr>
          <w:ilvl w:val="0"/>
          <w:numId w:val="3"/>
        </w:numPr>
        <w:jc w:val="both"/>
        <w:rPr>
          <w:rFonts w:ascii="Arial" w:hAnsi="Arial" w:cs="Arial"/>
          <w:color w:val="000000" w:themeColor="text1"/>
          <w:lang w:val="es-ES"/>
        </w:rPr>
      </w:pPr>
      <w:r w:rsidRPr="0094498D">
        <w:rPr>
          <w:rFonts w:ascii="Arial" w:hAnsi="Arial" w:cs="Arial"/>
          <w:color w:val="000000" w:themeColor="text1"/>
          <w:lang w:val="es-ES"/>
        </w:rPr>
        <w:t>En julio, no se administró, pero en agosto, comienza con 50 unidades.</w:t>
      </w:r>
    </w:p>
    <w:p w14:paraId="004769F0" w14:textId="77777777" w:rsidR="0094498D" w:rsidRPr="0094498D" w:rsidRDefault="0094498D" w:rsidP="0094498D">
      <w:pPr>
        <w:numPr>
          <w:ilvl w:val="0"/>
          <w:numId w:val="3"/>
        </w:numPr>
        <w:jc w:val="both"/>
        <w:rPr>
          <w:rFonts w:ascii="Arial" w:hAnsi="Arial" w:cs="Arial"/>
          <w:color w:val="000000" w:themeColor="text1"/>
          <w:lang w:val="es-ES"/>
        </w:rPr>
      </w:pPr>
      <w:r w:rsidRPr="0094498D">
        <w:rPr>
          <w:rFonts w:ascii="Arial" w:hAnsi="Arial" w:cs="Arial"/>
          <w:color w:val="000000" w:themeColor="text1"/>
          <w:lang w:val="es-ES"/>
        </w:rPr>
        <w:t>El uso de B alcanza su máximo en septiembre (140 unidades) y desciende nuevamente en octubre y noviembre (con 75 y 70 unidades, respectivamente).</w:t>
      </w:r>
    </w:p>
    <w:p w14:paraId="4D864F8D" w14:textId="77777777" w:rsidR="009004D4" w:rsidRPr="000D604F" w:rsidRDefault="009004D4" w:rsidP="000D604F">
      <w:pPr>
        <w:jc w:val="both"/>
        <w:rPr>
          <w:rFonts w:ascii="Arial" w:hAnsi="Arial" w:cs="Arial"/>
          <w:b/>
          <w:bCs/>
          <w:color w:val="000000" w:themeColor="text1"/>
        </w:rPr>
      </w:pPr>
    </w:p>
    <w:p w14:paraId="766CCECE" w14:textId="45EA01A5" w:rsidR="009004D4" w:rsidRDefault="009004D4" w:rsidP="000D604F">
      <w:pPr>
        <w:jc w:val="both"/>
        <w:rPr>
          <w:rFonts w:ascii="Arial" w:hAnsi="Arial" w:cs="Arial"/>
          <w:b/>
          <w:bCs/>
          <w:color w:val="000000" w:themeColor="text1"/>
        </w:rPr>
      </w:pPr>
      <w:r w:rsidRPr="000D604F">
        <w:rPr>
          <w:rFonts w:ascii="Arial" w:hAnsi="Arial" w:cs="Arial"/>
          <w:b/>
          <w:bCs/>
          <w:color w:val="000000" w:themeColor="text1"/>
        </w:rPr>
        <w:t xml:space="preserve">El gráfico </w:t>
      </w:r>
      <w:r w:rsidR="000D604F" w:rsidRPr="000D604F">
        <w:rPr>
          <w:rFonts w:ascii="Arial" w:hAnsi="Arial" w:cs="Arial"/>
          <w:b/>
          <w:bCs/>
          <w:color w:val="000000" w:themeColor="text1"/>
        </w:rPr>
        <w:t xml:space="preserve">de líneas </w:t>
      </w:r>
      <w:r w:rsidRPr="000D604F">
        <w:rPr>
          <w:rFonts w:ascii="Arial" w:hAnsi="Arial" w:cs="Arial"/>
          <w:b/>
          <w:bCs/>
          <w:color w:val="000000" w:themeColor="text1"/>
        </w:rPr>
        <w:t xml:space="preserve">muestra una tendencia ascendente entre la edad y los niveles de colesterol. </w:t>
      </w:r>
    </w:p>
    <w:p w14:paraId="753209BB" w14:textId="43482E51" w:rsidR="00FC61D9" w:rsidRPr="00FC61D9" w:rsidRDefault="00FC61D9" w:rsidP="00FC61D9">
      <w:r w:rsidRPr="00325F88">
        <w:rPr>
          <w:b/>
          <w:bCs/>
        </w:rPr>
        <w:t xml:space="preserve">Enlace: </w:t>
      </w:r>
      <w:hyperlink r:id="rId6" w:history="1">
        <w:r w:rsidRPr="0094498D">
          <w:rPr>
            <w:rStyle w:val="Hipervnculo"/>
            <w:b/>
            <w:bCs/>
          </w:rPr>
          <w:t xml:space="preserve">UCI Heart </w:t>
        </w:r>
        <w:proofErr w:type="spellStart"/>
        <w:r w:rsidRPr="0094498D">
          <w:rPr>
            <w:rStyle w:val="Hipervnculo"/>
            <w:b/>
            <w:bCs/>
          </w:rPr>
          <w:t>Disease</w:t>
        </w:r>
        <w:proofErr w:type="spellEnd"/>
        <w:r w:rsidRPr="0094498D">
          <w:rPr>
            <w:rStyle w:val="Hipervnculo"/>
            <w:b/>
            <w:bCs/>
          </w:rPr>
          <w:t xml:space="preserve"> Data (kaggle.com)</w:t>
        </w:r>
      </w:hyperlink>
    </w:p>
    <w:p w14:paraId="557F4210" w14:textId="634814D8" w:rsidR="000D604F" w:rsidRPr="000D604F" w:rsidRDefault="000D604F" w:rsidP="000D604F">
      <w:pPr>
        <w:jc w:val="both"/>
        <w:rPr>
          <w:rFonts w:ascii="Arial" w:hAnsi="Arial" w:cs="Arial"/>
          <w:color w:val="000000" w:themeColor="text1"/>
        </w:rPr>
      </w:pPr>
      <w:r w:rsidRPr="000D604F">
        <w:rPr>
          <w:rFonts w:ascii="Arial" w:hAnsi="Arial" w:cs="Arial"/>
          <w:color w:val="000000" w:themeColor="text1"/>
        </w:rPr>
        <w:t>Nos muestra que, a medida que las personas envejecen, sus niveles de colesterol tienden a subir. Desde los 29 hasta los 70 años, el colesterol aumenta gradualmente, pero el incremento se vuelve más notable a partir de los 50 años. Esto refleja que, con la edad, es más común que los niveles de colesterol se eleven, lo cual puede estar relacionado con un mayor riesgo de problemas cardíacos</w:t>
      </w:r>
    </w:p>
    <w:p w14:paraId="174715CB" w14:textId="3B751B30" w:rsidR="00FC61D9" w:rsidRPr="00FC61D9" w:rsidRDefault="00FC61D9" w:rsidP="00FC61D9"/>
    <w:p w14:paraId="791473AE" w14:textId="77777777" w:rsidR="0094498D" w:rsidRDefault="0094498D" w:rsidP="0094498D">
      <w:pPr>
        <w:jc w:val="both"/>
        <w:rPr>
          <w:rFonts w:ascii="Arial" w:hAnsi="Arial" w:cs="Arial"/>
          <w:b/>
          <w:bCs/>
          <w:color w:val="000000" w:themeColor="text1"/>
          <w:lang w:val="es-ES"/>
        </w:rPr>
      </w:pPr>
      <w:r w:rsidRPr="0094498D">
        <w:rPr>
          <w:rFonts w:ascii="Arial" w:hAnsi="Arial" w:cs="Arial"/>
          <w:b/>
          <w:bCs/>
          <w:color w:val="000000" w:themeColor="text1"/>
          <w:lang w:val="es-ES"/>
        </w:rPr>
        <w:t>El gráfico circular muestra la distribución de problemas de salud mental en estudiantes según los datos:</w:t>
      </w:r>
    </w:p>
    <w:p w14:paraId="048EEE48" w14:textId="192AB68C" w:rsidR="0094498D" w:rsidRPr="0094498D" w:rsidRDefault="0094498D" w:rsidP="0094498D">
      <w:r w:rsidRPr="00325F88">
        <w:rPr>
          <w:b/>
          <w:bCs/>
        </w:rPr>
        <w:t>Enlace:</w:t>
      </w:r>
      <w:r>
        <w:t xml:space="preserve"> </w:t>
      </w:r>
      <w:hyperlink r:id="rId7" w:history="1">
        <w:proofErr w:type="spellStart"/>
        <w:r w:rsidRPr="0094498D">
          <w:rPr>
            <w:rStyle w:val="Hipervnculo"/>
            <w:b/>
            <w:bCs/>
          </w:rPr>
          <w:t>Student</w:t>
        </w:r>
        <w:proofErr w:type="spellEnd"/>
        <w:r w:rsidRPr="0094498D">
          <w:rPr>
            <w:rStyle w:val="Hipervnculo"/>
            <w:b/>
            <w:bCs/>
          </w:rPr>
          <w:t xml:space="preserve"> Mental (kaggle.com)</w:t>
        </w:r>
      </w:hyperlink>
    </w:p>
    <w:p w14:paraId="20A6E2CF" w14:textId="77777777" w:rsidR="0094498D" w:rsidRPr="0094498D" w:rsidRDefault="0094498D" w:rsidP="0094498D">
      <w:pPr>
        <w:numPr>
          <w:ilvl w:val="0"/>
          <w:numId w:val="4"/>
        </w:numPr>
        <w:jc w:val="both"/>
        <w:rPr>
          <w:rFonts w:ascii="Arial" w:hAnsi="Arial" w:cs="Arial"/>
          <w:color w:val="000000" w:themeColor="text1"/>
          <w:lang w:val="es-ES"/>
        </w:rPr>
      </w:pPr>
      <w:r w:rsidRPr="0094498D">
        <w:rPr>
          <w:rFonts w:ascii="Arial" w:hAnsi="Arial" w:cs="Arial"/>
          <w:b/>
          <w:bCs/>
          <w:color w:val="000000" w:themeColor="text1"/>
          <w:lang w:val="es-ES"/>
        </w:rPr>
        <w:t>Ansiedad</w:t>
      </w:r>
      <w:r w:rsidRPr="0094498D">
        <w:rPr>
          <w:rFonts w:ascii="Arial" w:hAnsi="Arial" w:cs="Arial"/>
          <w:color w:val="000000" w:themeColor="text1"/>
          <w:lang w:val="es-ES"/>
        </w:rPr>
        <w:t xml:space="preserve">: Representa aproximadamente un </w:t>
      </w:r>
      <w:r w:rsidRPr="0094498D">
        <w:rPr>
          <w:rFonts w:ascii="Arial" w:hAnsi="Arial" w:cs="Arial"/>
          <w:b/>
          <w:bCs/>
          <w:color w:val="000000" w:themeColor="text1"/>
          <w:lang w:val="es-ES"/>
        </w:rPr>
        <w:t>38.8%</w:t>
      </w:r>
      <w:r w:rsidRPr="0094498D">
        <w:rPr>
          <w:rFonts w:ascii="Arial" w:hAnsi="Arial" w:cs="Arial"/>
          <w:color w:val="000000" w:themeColor="text1"/>
          <w:lang w:val="es-ES"/>
        </w:rPr>
        <w:t xml:space="preserve"> del total de los estudiantes, siendo el problema más frecuente.</w:t>
      </w:r>
    </w:p>
    <w:p w14:paraId="3D57D7C5" w14:textId="77777777" w:rsidR="0094498D" w:rsidRPr="0094498D" w:rsidRDefault="0094498D" w:rsidP="0094498D">
      <w:pPr>
        <w:numPr>
          <w:ilvl w:val="0"/>
          <w:numId w:val="4"/>
        </w:numPr>
        <w:jc w:val="both"/>
        <w:rPr>
          <w:rFonts w:ascii="Arial" w:hAnsi="Arial" w:cs="Arial"/>
          <w:color w:val="000000" w:themeColor="text1"/>
          <w:lang w:val="es-ES"/>
        </w:rPr>
      </w:pPr>
      <w:r w:rsidRPr="0094498D">
        <w:rPr>
          <w:rFonts w:ascii="Arial" w:hAnsi="Arial" w:cs="Arial"/>
          <w:b/>
          <w:bCs/>
          <w:color w:val="000000" w:themeColor="text1"/>
          <w:lang w:val="es-ES"/>
        </w:rPr>
        <w:t>Estrés</w:t>
      </w:r>
      <w:r w:rsidRPr="0094498D">
        <w:rPr>
          <w:rFonts w:ascii="Arial" w:hAnsi="Arial" w:cs="Arial"/>
          <w:color w:val="000000" w:themeColor="text1"/>
          <w:lang w:val="es-ES"/>
        </w:rPr>
        <w:t xml:space="preserve">: Se encuentra en segundo lugar, con un </w:t>
      </w:r>
      <w:r w:rsidRPr="0094498D">
        <w:rPr>
          <w:rFonts w:ascii="Arial" w:hAnsi="Arial" w:cs="Arial"/>
          <w:b/>
          <w:bCs/>
          <w:color w:val="000000" w:themeColor="text1"/>
          <w:lang w:val="es-ES"/>
        </w:rPr>
        <w:t>32.6%</w:t>
      </w:r>
      <w:r w:rsidRPr="0094498D">
        <w:rPr>
          <w:rFonts w:ascii="Arial" w:hAnsi="Arial" w:cs="Arial"/>
          <w:color w:val="000000" w:themeColor="text1"/>
          <w:lang w:val="es-ES"/>
        </w:rPr>
        <w:t>.</w:t>
      </w:r>
    </w:p>
    <w:p w14:paraId="6DFD7FB9" w14:textId="77777777" w:rsidR="0094498D" w:rsidRPr="0094498D" w:rsidRDefault="0094498D" w:rsidP="0094498D">
      <w:pPr>
        <w:numPr>
          <w:ilvl w:val="0"/>
          <w:numId w:val="4"/>
        </w:numPr>
        <w:jc w:val="both"/>
        <w:rPr>
          <w:rFonts w:ascii="Arial" w:hAnsi="Arial" w:cs="Arial"/>
          <w:color w:val="000000" w:themeColor="text1"/>
          <w:lang w:val="es-ES"/>
        </w:rPr>
      </w:pPr>
      <w:r w:rsidRPr="0094498D">
        <w:rPr>
          <w:rFonts w:ascii="Arial" w:hAnsi="Arial" w:cs="Arial"/>
          <w:b/>
          <w:bCs/>
          <w:color w:val="000000" w:themeColor="text1"/>
          <w:lang w:val="es-ES"/>
        </w:rPr>
        <w:lastRenderedPageBreak/>
        <w:t>Depresión</w:t>
      </w:r>
      <w:r w:rsidRPr="0094498D">
        <w:rPr>
          <w:rFonts w:ascii="Arial" w:hAnsi="Arial" w:cs="Arial"/>
          <w:color w:val="000000" w:themeColor="text1"/>
          <w:lang w:val="es-ES"/>
        </w:rPr>
        <w:t xml:space="preserve">: Afecta al </w:t>
      </w:r>
      <w:r w:rsidRPr="0094498D">
        <w:rPr>
          <w:rFonts w:ascii="Arial" w:hAnsi="Arial" w:cs="Arial"/>
          <w:b/>
          <w:bCs/>
          <w:color w:val="000000" w:themeColor="text1"/>
          <w:lang w:val="es-ES"/>
        </w:rPr>
        <w:t>29.5%</w:t>
      </w:r>
      <w:r w:rsidRPr="0094498D">
        <w:rPr>
          <w:rFonts w:ascii="Arial" w:hAnsi="Arial" w:cs="Arial"/>
          <w:color w:val="000000" w:themeColor="text1"/>
          <w:lang w:val="es-ES"/>
        </w:rPr>
        <w:t xml:space="preserve"> de los estudiantes, situándose como el tercer problema más común.</w:t>
      </w:r>
    </w:p>
    <w:p w14:paraId="3119D046" w14:textId="77777777" w:rsidR="0094498D" w:rsidRPr="0094498D" w:rsidRDefault="0094498D" w:rsidP="0094498D">
      <w:pPr>
        <w:numPr>
          <w:ilvl w:val="0"/>
          <w:numId w:val="4"/>
        </w:numPr>
        <w:jc w:val="both"/>
        <w:rPr>
          <w:rFonts w:ascii="Arial" w:hAnsi="Arial" w:cs="Arial"/>
          <w:color w:val="000000" w:themeColor="text1"/>
          <w:lang w:val="es-ES"/>
        </w:rPr>
      </w:pPr>
      <w:r w:rsidRPr="0094498D">
        <w:rPr>
          <w:rFonts w:ascii="Arial" w:hAnsi="Arial" w:cs="Arial"/>
          <w:b/>
          <w:bCs/>
          <w:color w:val="000000" w:themeColor="text1"/>
          <w:lang w:val="es-ES"/>
        </w:rPr>
        <w:t>Sin problemas de salud mental</w:t>
      </w:r>
      <w:r w:rsidRPr="0094498D">
        <w:rPr>
          <w:rFonts w:ascii="Arial" w:hAnsi="Arial" w:cs="Arial"/>
          <w:color w:val="000000" w:themeColor="text1"/>
          <w:lang w:val="es-ES"/>
        </w:rPr>
        <w:t xml:space="preserve">: Aproximadamente un </w:t>
      </w:r>
      <w:r w:rsidRPr="0094498D">
        <w:rPr>
          <w:rFonts w:ascii="Arial" w:hAnsi="Arial" w:cs="Arial"/>
          <w:b/>
          <w:bCs/>
          <w:color w:val="000000" w:themeColor="text1"/>
          <w:lang w:val="es-ES"/>
        </w:rPr>
        <w:t>10.2%</w:t>
      </w:r>
      <w:r w:rsidRPr="0094498D">
        <w:rPr>
          <w:rFonts w:ascii="Arial" w:hAnsi="Arial" w:cs="Arial"/>
          <w:color w:val="000000" w:themeColor="text1"/>
          <w:lang w:val="es-ES"/>
        </w:rPr>
        <w:t xml:space="preserve"> de los estudiantes no reporta problemas de salud mental.</w:t>
      </w:r>
    </w:p>
    <w:p w14:paraId="0672048D" w14:textId="2562DD45" w:rsidR="000D604F" w:rsidRPr="000D604F" w:rsidRDefault="000D604F" w:rsidP="000D604F">
      <w:pPr>
        <w:jc w:val="both"/>
        <w:rPr>
          <w:rFonts w:ascii="Arial" w:hAnsi="Arial" w:cs="Arial"/>
          <w:color w:val="000000" w:themeColor="text1"/>
        </w:rPr>
      </w:pPr>
    </w:p>
    <w:sectPr w:rsidR="000D604F" w:rsidRPr="000D60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8326B"/>
    <w:multiLevelType w:val="multilevel"/>
    <w:tmpl w:val="BC50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B58E6"/>
    <w:multiLevelType w:val="multilevel"/>
    <w:tmpl w:val="7BBC6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0C13D7"/>
    <w:multiLevelType w:val="multilevel"/>
    <w:tmpl w:val="866A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A90C77"/>
    <w:multiLevelType w:val="multilevel"/>
    <w:tmpl w:val="B1EE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393895">
    <w:abstractNumId w:val="1"/>
  </w:num>
  <w:num w:numId="2" w16cid:durableId="669522131">
    <w:abstractNumId w:val="2"/>
  </w:num>
  <w:num w:numId="3" w16cid:durableId="1648969313">
    <w:abstractNumId w:val="3"/>
  </w:num>
  <w:num w:numId="4" w16cid:durableId="92675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9D"/>
    <w:rsid w:val="000D604F"/>
    <w:rsid w:val="006A289D"/>
    <w:rsid w:val="006E2DC7"/>
    <w:rsid w:val="009004D4"/>
    <w:rsid w:val="0094498D"/>
    <w:rsid w:val="00A60475"/>
    <w:rsid w:val="00FC61D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BEA7"/>
  <w15:chartTrackingRefBased/>
  <w15:docId w15:val="{CAA1684A-20FF-4EEA-9C41-9E266205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28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A28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28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28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28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28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28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28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289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28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A289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289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289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289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289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289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289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289D"/>
    <w:rPr>
      <w:rFonts w:eastAsiaTheme="majorEastAsia" w:cstheme="majorBidi"/>
      <w:color w:val="272727" w:themeColor="text1" w:themeTint="D8"/>
    </w:rPr>
  </w:style>
  <w:style w:type="paragraph" w:styleId="Ttulo">
    <w:name w:val="Title"/>
    <w:basedOn w:val="Normal"/>
    <w:next w:val="Normal"/>
    <w:link w:val="TtuloCar"/>
    <w:uiPriority w:val="10"/>
    <w:qFormat/>
    <w:rsid w:val="006A2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28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289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289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289D"/>
    <w:pPr>
      <w:spacing w:before="160"/>
      <w:jc w:val="center"/>
    </w:pPr>
    <w:rPr>
      <w:i/>
      <w:iCs/>
      <w:color w:val="404040" w:themeColor="text1" w:themeTint="BF"/>
    </w:rPr>
  </w:style>
  <w:style w:type="character" w:customStyle="1" w:styleId="CitaCar">
    <w:name w:val="Cita Car"/>
    <w:basedOn w:val="Fuentedeprrafopredeter"/>
    <w:link w:val="Cita"/>
    <w:uiPriority w:val="29"/>
    <w:rsid w:val="006A289D"/>
    <w:rPr>
      <w:i/>
      <w:iCs/>
      <w:color w:val="404040" w:themeColor="text1" w:themeTint="BF"/>
    </w:rPr>
  </w:style>
  <w:style w:type="paragraph" w:styleId="Prrafodelista">
    <w:name w:val="List Paragraph"/>
    <w:basedOn w:val="Normal"/>
    <w:uiPriority w:val="34"/>
    <w:qFormat/>
    <w:rsid w:val="006A289D"/>
    <w:pPr>
      <w:ind w:left="720"/>
      <w:contextualSpacing/>
    </w:pPr>
  </w:style>
  <w:style w:type="character" w:styleId="nfasisintenso">
    <w:name w:val="Intense Emphasis"/>
    <w:basedOn w:val="Fuentedeprrafopredeter"/>
    <w:uiPriority w:val="21"/>
    <w:qFormat/>
    <w:rsid w:val="006A289D"/>
    <w:rPr>
      <w:i/>
      <w:iCs/>
      <w:color w:val="0F4761" w:themeColor="accent1" w:themeShade="BF"/>
    </w:rPr>
  </w:style>
  <w:style w:type="paragraph" w:styleId="Citadestacada">
    <w:name w:val="Intense Quote"/>
    <w:basedOn w:val="Normal"/>
    <w:next w:val="Normal"/>
    <w:link w:val="CitadestacadaCar"/>
    <w:uiPriority w:val="30"/>
    <w:qFormat/>
    <w:rsid w:val="006A2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289D"/>
    <w:rPr>
      <w:i/>
      <w:iCs/>
      <w:color w:val="0F4761" w:themeColor="accent1" w:themeShade="BF"/>
    </w:rPr>
  </w:style>
  <w:style w:type="character" w:styleId="Referenciaintensa">
    <w:name w:val="Intense Reference"/>
    <w:basedOn w:val="Fuentedeprrafopredeter"/>
    <w:uiPriority w:val="32"/>
    <w:qFormat/>
    <w:rsid w:val="006A289D"/>
    <w:rPr>
      <w:b/>
      <w:bCs/>
      <w:smallCaps/>
      <w:color w:val="0F4761" w:themeColor="accent1" w:themeShade="BF"/>
      <w:spacing w:val="5"/>
    </w:rPr>
  </w:style>
  <w:style w:type="character" w:styleId="Hipervnculo">
    <w:name w:val="Hyperlink"/>
    <w:basedOn w:val="Fuentedeprrafopredeter"/>
    <w:uiPriority w:val="99"/>
    <w:unhideWhenUsed/>
    <w:rsid w:val="00FC61D9"/>
    <w:rPr>
      <w:color w:val="467886" w:themeColor="hyperlink"/>
      <w:u w:val="single"/>
    </w:rPr>
  </w:style>
  <w:style w:type="character" w:styleId="Hipervnculovisitado">
    <w:name w:val="FollowedHyperlink"/>
    <w:basedOn w:val="Fuentedeprrafopredeter"/>
    <w:uiPriority w:val="99"/>
    <w:semiHidden/>
    <w:unhideWhenUsed/>
    <w:rsid w:val="00FC61D9"/>
    <w:rPr>
      <w:color w:val="96607D" w:themeColor="followedHyperlink"/>
      <w:u w:val="single"/>
    </w:rPr>
  </w:style>
  <w:style w:type="character" w:styleId="Mencinsinresolver">
    <w:name w:val="Unresolved Mention"/>
    <w:basedOn w:val="Fuentedeprrafopredeter"/>
    <w:uiPriority w:val="99"/>
    <w:semiHidden/>
    <w:unhideWhenUsed/>
    <w:rsid w:val="00944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05185">
      <w:bodyDiv w:val="1"/>
      <w:marLeft w:val="0"/>
      <w:marRight w:val="0"/>
      <w:marTop w:val="0"/>
      <w:marBottom w:val="0"/>
      <w:divBdr>
        <w:top w:val="none" w:sz="0" w:space="0" w:color="auto"/>
        <w:left w:val="none" w:sz="0" w:space="0" w:color="auto"/>
        <w:bottom w:val="none" w:sz="0" w:space="0" w:color="auto"/>
        <w:right w:val="none" w:sz="0" w:space="0" w:color="auto"/>
      </w:divBdr>
    </w:div>
    <w:div w:id="295574670">
      <w:bodyDiv w:val="1"/>
      <w:marLeft w:val="0"/>
      <w:marRight w:val="0"/>
      <w:marTop w:val="0"/>
      <w:marBottom w:val="0"/>
      <w:divBdr>
        <w:top w:val="none" w:sz="0" w:space="0" w:color="auto"/>
        <w:left w:val="none" w:sz="0" w:space="0" w:color="auto"/>
        <w:bottom w:val="none" w:sz="0" w:space="0" w:color="auto"/>
        <w:right w:val="none" w:sz="0" w:space="0" w:color="auto"/>
      </w:divBdr>
    </w:div>
    <w:div w:id="639967495">
      <w:bodyDiv w:val="1"/>
      <w:marLeft w:val="0"/>
      <w:marRight w:val="0"/>
      <w:marTop w:val="0"/>
      <w:marBottom w:val="0"/>
      <w:divBdr>
        <w:top w:val="none" w:sz="0" w:space="0" w:color="auto"/>
        <w:left w:val="none" w:sz="0" w:space="0" w:color="auto"/>
        <w:bottom w:val="none" w:sz="0" w:space="0" w:color="auto"/>
        <w:right w:val="none" w:sz="0" w:space="0" w:color="auto"/>
      </w:divBdr>
    </w:div>
    <w:div w:id="761995861">
      <w:bodyDiv w:val="1"/>
      <w:marLeft w:val="0"/>
      <w:marRight w:val="0"/>
      <w:marTop w:val="0"/>
      <w:marBottom w:val="0"/>
      <w:divBdr>
        <w:top w:val="none" w:sz="0" w:space="0" w:color="auto"/>
        <w:left w:val="none" w:sz="0" w:space="0" w:color="auto"/>
        <w:bottom w:val="none" w:sz="0" w:space="0" w:color="auto"/>
        <w:right w:val="none" w:sz="0" w:space="0" w:color="auto"/>
      </w:divBdr>
    </w:div>
    <w:div w:id="777220636">
      <w:bodyDiv w:val="1"/>
      <w:marLeft w:val="0"/>
      <w:marRight w:val="0"/>
      <w:marTop w:val="0"/>
      <w:marBottom w:val="0"/>
      <w:divBdr>
        <w:top w:val="none" w:sz="0" w:space="0" w:color="auto"/>
        <w:left w:val="none" w:sz="0" w:space="0" w:color="auto"/>
        <w:bottom w:val="none" w:sz="0" w:space="0" w:color="auto"/>
        <w:right w:val="none" w:sz="0" w:space="0" w:color="auto"/>
      </w:divBdr>
    </w:div>
    <w:div w:id="1272857403">
      <w:bodyDiv w:val="1"/>
      <w:marLeft w:val="0"/>
      <w:marRight w:val="0"/>
      <w:marTop w:val="0"/>
      <w:marBottom w:val="0"/>
      <w:divBdr>
        <w:top w:val="none" w:sz="0" w:space="0" w:color="auto"/>
        <w:left w:val="none" w:sz="0" w:space="0" w:color="auto"/>
        <w:bottom w:val="none" w:sz="0" w:space="0" w:color="auto"/>
        <w:right w:val="none" w:sz="0" w:space="0" w:color="auto"/>
      </w:divBdr>
    </w:div>
    <w:div w:id="1302492444">
      <w:bodyDiv w:val="1"/>
      <w:marLeft w:val="0"/>
      <w:marRight w:val="0"/>
      <w:marTop w:val="0"/>
      <w:marBottom w:val="0"/>
      <w:divBdr>
        <w:top w:val="none" w:sz="0" w:space="0" w:color="auto"/>
        <w:left w:val="none" w:sz="0" w:space="0" w:color="auto"/>
        <w:bottom w:val="none" w:sz="0" w:space="0" w:color="auto"/>
        <w:right w:val="none" w:sz="0" w:space="0" w:color="auto"/>
      </w:divBdr>
    </w:div>
    <w:div w:id="1500655734">
      <w:bodyDiv w:val="1"/>
      <w:marLeft w:val="0"/>
      <w:marRight w:val="0"/>
      <w:marTop w:val="0"/>
      <w:marBottom w:val="0"/>
      <w:divBdr>
        <w:top w:val="none" w:sz="0" w:space="0" w:color="auto"/>
        <w:left w:val="none" w:sz="0" w:space="0" w:color="auto"/>
        <w:bottom w:val="none" w:sz="0" w:space="0" w:color="auto"/>
        <w:right w:val="none" w:sz="0" w:space="0" w:color="auto"/>
      </w:divBdr>
    </w:div>
    <w:div w:id="1570575155">
      <w:bodyDiv w:val="1"/>
      <w:marLeft w:val="0"/>
      <w:marRight w:val="0"/>
      <w:marTop w:val="0"/>
      <w:marBottom w:val="0"/>
      <w:divBdr>
        <w:top w:val="none" w:sz="0" w:space="0" w:color="auto"/>
        <w:left w:val="none" w:sz="0" w:space="0" w:color="auto"/>
        <w:bottom w:val="none" w:sz="0" w:space="0" w:color="auto"/>
        <w:right w:val="none" w:sz="0" w:space="0" w:color="auto"/>
      </w:divBdr>
    </w:div>
    <w:div w:id="208452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willianoliveiragibin/student-men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edwankarimsony/heart-disease-data" TargetMode="External"/><Relationship Id="rId5" Type="http://schemas.openxmlformats.org/officeDocument/2006/relationships/hyperlink" Target="https://www.kaggle.com/datasets/taweilo/medical-trial-dataset/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314</Words>
  <Characters>1728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Dinora Funes</dc:creator>
  <cp:keywords/>
  <dc:description/>
  <cp:lastModifiedBy>Katerin Michelle Campos Aparicio</cp:lastModifiedBy>
  <cp:revision>2</cp:revision>
  <dcterms:created xsi:type="dcterms:W3CDTF">2024-10-06T22:02:00Z</dcterms:created>
  <dcterms:modified xsi:type="dcterms:W3CDTF">2024-10-06T22:02:00Z</dcterms:modified>
</cp:coreProperties>
</file>