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5" w:name="X216de33ffe2188107ae779d3b4ea8c9a6785324"/>
    <w:p>
      <w:pPr>
        <w:pStyle w:val="Heading1"/>
      </w:pPr>
      <w:r>
        <w:t xml:space="preserve">Greek Payroll System — Cutting‑Edge Spec (2025)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Build a best‑in‑class, Greece‑native payroll platform that matches the UX velocity of Gusto/Rippling, the compliance depth of ADP, and the automation of modern global payroll—fully aligned with Greek law (ERGANI II, e‑EFKA/APD, AADE ΦΜΥ) and the Digital Work Card.</w:t>
      </w:r>
    </w:p>
    <w:p>
      <w:r>
        <w:pict>
          <v:rect style="width:0;height:1.5pt" o:hralign="center" o:hrstd="t" o:hr="t"/>
        </w:pict>
      </w:r>
    </w:p>
    <w:bookmarkStart w:id="20" w:name="product-vision-principles"/>
    <w:p>
      <w:pPr>
        <w:pStyle w:val="Heading2"/>
      </w:pPr>
      <w:r>
        <w:t xml:space="preserve">1) Product Vision &amp; Principles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Compliance‑first by design</w:t>
      </w:r>
      <w:r>
        <w:t xml:space="preserve">: Greek law encoded as machine‑readable rules; automatic updates with effective dates.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Automation everywhere</w:t>
      </w:r>
      <w:r>
        <w:t xml:space="preserve">: From Digital Work Card → timesheets → payroll → filings → SEPA payments → GL postings.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Single source of truth</w:t>
      </w:r>
      <w:r>
        <w:t xml:space="preserve">: One employee graph across entities, hotels/properties, and departments (cost centers).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Opinionated UX</w:t>
      </w:r>
      <w:r>
        <w:t xml:space="preserve">:</w:t>
      </w:r>
    </w:p>
    <w:p>
      <w:pPr>
        <w:pStyle w:val="Compact"/>
        <w:numPr>
          <w:ilvl w:val="1"/>
          <w:numId w:val="1002"/>
        </w:numPr>
      </w:pPr>
      <w:r>
        <w:t xml:space="preserve">90‑second payroll run for a 150‑employee property.</w:t>
      </w:r>
    </w:p>
    <w:p>
      <w:pPr>
        <w:pStyle w:val="Compact"/>
        <w:numPr>
          <w:ilvl w:val="1"/>
          <w:numId w:val="1002"/>
        </w:numPr>
      </w:pPr>
      <w:r>
        <w:t xml:space="preserve">Zero manual keying for recurring filings.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Open, API‑first</w:t>
      </w:r>
      <w:r>
        <w:t xml:space="preserve">: REST/GraphQL for HRIS, T&amp;A, accounting/ERP, banks.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Hotel‑ready</w:t>
      </w:r>
      <w:r>
        <w:t xml:space="preserve">: Seasonal hires, split shifts, tip pooling, multi‑property scheduling.</w:t>
      </w:r>
    </w:p>
    <w:p>
      <w:r>
        <w:pict>
          <v:rect style="width:0;height:1.5pt" o:hralign="center" o:hrstd="t" o:hr="t"/>
        </w:pict>
      </w:r>
    </w:p>
    <w:bookmarkEnd w:id="20"/>
    <w:bookmarkStart w:id="21" w:name="greece-compliance-anchor-2025"/>
    <w:p>
      <w:pPr>
        <w:pStyle w:val="Heading2"/>
      </w:pPr>
      <w:r>
        <w:t xml:space="preserve">2) Greece Compliance Anchor (2025)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Digital Work Card</w:t>
      </w:r>
      <w:r>
        <w:t xml:space="preserve"> </w:t>
      </w:r>
      <w:r>
        <w:t xml:space="preserve">(Ψηφιακή Κάρτα Εργασίας) real‑time attendance + ERGANI II event sync.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Minimum wage engine</w:t>
      </w:r>
      <w:r>
        <w:t xml:space="preserve"> </w:t>
      </w:r>
      <w:r>
        <w:t xml:space="preserve">with effective‑date tables (e.g., April 2025 update) and alerts on non‑compliant rates.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Government flows</w:t>
      </w:r>
      <w:r>
        <w:t xml:space="preserve">: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ERGANI II</w:t>
      </w:r>
      <w:r>
        <w:t xml:space="preserve">: hires, schedule declarations/changes, overtime, leaves, contract changes/termination.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e‑EFKA/APD</w:t>
      </w:r>
      <w:r>
        <w:t xml:space="preserve">: monthly social security file + receipts.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AADE/ΦΜΥ</w:t>
      </w:r>
      <w:r>
        <w:t xml:space="preserve">: monthly withholding tax file + payment.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Greek special pays</w:t>
      </w:r>
      <w:r>
        <w:t xml:space="preserve">: Δώρο Πάσχα, Δώρο Χριστουγέννων, Επίδομα Άδειας.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Leave/parental protections</w:t>
      </w:r>
      <w:r>
        <w:t xml:space="preserve"> </w:t>
      </w:r>
      <w:r>
        <w:t xml:space="preserve">and reinstatement logic; audit‑complete.</w:t>
      </w:r>
    </w:p>
    <w:p>
      <w:pPr>
        <w:pStyle w:val="BlockText"/>
      </w:pPr>
      <w:r>
        <w:t xml:space="preserve">The compliance layer is built as a</w:t>
      </w:r>
      <w:r>
        <w:t xml:space="preserve"> </w:t>
      </w:r>
      <w:r>
        <w:rPr>
          <w:b/>
          <w:bCs/>
        </w:rPr>
        <w:t xml:space="preserve">versioned rules DSL</w:t>
      </w:r>
      <w:r>
        <w:t xml:space="preserve"> </w:t>
      </w:r>
      <w:r>
        <w:t xml:space="preserve">(see §7) with official form generators and validators.</w:t>
      </w:r>
    </w:p>
    <w:p>
      <w:r>
        <w:pict>
          <v:rect style="width:0;height:1.5pt" o:hralign="center" o:hrstd="t" o:hr="t"/>
        </w:pict>
      </w:r>
    </w:p>
    <w:bookmarkEnd w:id="21"/>
    <w:bookmarkStart w:id="30" w:name="core-modules"/>
    <w:p>
      <w:pPr>
        <w:pStyle w:val="Heading2"/>
      </w:pPr>
      <w:r>
        <w:t xml:space="preserve">3) Core Modules</w:t>
      </w:r>
    </w:p>
    <w:bookmarkStart w:id="22" w:name="employee-contract-master"/>
    <w:p>
      <w:pPr>
        <w:pStyle w:val="Heading3"/>
      </w:pPr>
      <w:r>
        <w:t xml:space="preserve">3.1 Employee &amp; Contract Master</w:t>
      </w:r>
    </w:p>
    <w:p>
      <w:pPr>
        <w:pStyle w:val="Compact"/>
        <w:numPr>
          <w:ilvl w:val="0"/>
          <w:numId w:val="1005"/>
        </w:numPr>
      </w:pPr>
      <w:r>
        <w:t xml:space="preserve">Personal data, AFM/AMKA/PAAYPA, bank IBAN, dependents.</w:t>
      </w:r>
    </w:p>
    <w:p>
      <w:pPr>
        <w:pStyle w:val="Compact"/>
        <w:numPr>
          <w:ilvl w:val="0"/>
          <w:numId w:val="1005"/>
        </w:numPr>
      </w:pPr>
      <w:r>
        <w:t xml:space="preserve">Employment type (indefinite/fixed‑term/seasonal), grade, CBA union, hire/term dates.</w:t>
      </w:r>
    </w:p>
    <w:p>
      <w:pPr>
        <w:pStyle w:val="Compact"/>
        <w:numPr>
          <w:ilvl w:val="0"/>
          <w:numId w:val="1005"/>
        </w:numPr>
      </w:pPr>
      <w:r>
        <w:t xml:space="preserve">Wage components: base, allowances (food, housing, transport), variable pay, tips, per‑diems.</w:t>
      </w:r>
    </w:p>
    <w:p>
      <w:pPr>
        <w:pStyle w:val="Compact"/>
        <w:numPr>
          <w:ilvl w:val="0"/>
          <w:numId w:val="1005"/>
        </w:numPr>
      </w:pPr>
      <w:r>
        <w:t xml:space="preserve">Multi‑entity/multi‑property assignment with cost‑center splits.</w:t>
      </w:r>
    </w:p>
    <w:bookmarkEnd w:id="22"/>
    <w:bookmarkStart w:id="23" w:name="time-attendance-digital-work-cardnative"/>
    <w:p>
      <w:pPr>
        <w:pStyle w:val="Heading3"/>
      </w:pPr>
      <w:r>
        <w:t xml:space="preserve">3.2 Time &amp; Attendance (Digital Work Card‑native)</w:t>
      </w:r>
    </w:p>
    <w:p>
      <w:pPr>
        <w:pStyle w:val="Compact"/>
        <w:numPr>
          <w:ilvl w:val="0"/>
          <w:numId w:val="1006"/>
        </w:numPr>
      </w:pPr>
      <w:r>
        <w:t xml:space="preserve">Punch sources: Mobile (QR/NFC), Kiosk/Tablet, BLE geofence prompts, API (hardware clocks).</w:t>
      </w:r>
    </w:p>
    <w:p>
      <w:pPr>
        <w:pStyle w:val="Compact"/>
        <w:numPr>
          <w:ilvl w:val="0"/>
          <w:numId w:val="1006"/>
        </w:numPr>
      </w:pPr>
      <w:r>
        <w:t xml:space="preserve">Anti‑fraud: device binding, geo‑fencing, duplicate/overlap detection.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Exception workflows</w:t>
      </w:r>
      <w:r>
        <w:t xml:space="preserve">: missed punch, wrong site, overtime without approval; reason codes + e‑sign.</w:t>
      </w:r>
    </w:p>
    <w:p>
      <w:pPr>
        <w:pStyle w:val="Compact"/>
        <w:numPr>
          <w:ilvl w:val="0"/>
          <w:numId w:val="1006"/>
        </w:numPr>
      </w:pPr>
      <w:r>
        <w:t xml:space="preserve">Real‑time</w:t>
      </w:r>
      <w:r>
        <w:t xml:space="preserve"> </w:t>
      </w:r>
      <w:r>
        <w:rPr>
          <w:b/>
          <w:bCs/>
        </w:rPr>
        <w:t xml:space="preserve">ERGANI II</w:t>
      </w:r>
      <w:r>
        <w:t xml:space="preserve"> </w:t>
      </w:r>
      <w:r>
        <w:t xml:space="preserve">event push + receipt ledger; offline queue w/ tamper‑evident signatures.</w:t>
      </w:r>
    </w:p>
    <w:bookmarkEnd w:id="23"/>
    <w:bookmarkStart w:id="24" w:name="scheduling-overtime"/>
    <w:p>
      <w:pPr>
        <w:pStyle w:val="Heading3"/>
      </w:pPr>
      <w:r>
        <w:t xml:space="preserve">3.3 Scheduling &amp; Overtime</w:t>
      </w:r>
    </w:p>
    <w:p>
      <w:pPr>
        <w:pStyle w:val="Compact"/>
        <w:numPr>
          <w:ilvl w:val="0"/>
          <w:numId w:val="1007"/>
        </w:numPr>
      </w:pPr>
      <w:r>
        <w:t xml:space="preserve">Rota builder with templates per department (FO, HK, F&amp;B, Maintenance, Spa).</w:t>
      </w:r>
    </w:p>
    <w:p>
      <w:pPr>
        <w:pStyle w:val="Compact"/>
        <w:numPr>
          <w:ilvl w:val="0"/>
          <w:numId w:val="1007"/>
        </w:numPr>
      </w:pPr>
      <w:r>
        <w:t xml:space="preserve">Overtime tiers, night bands, Sunday/holiday premiums (policy‑driven, CBA‑aware).</w:t>
      </w:r>
    </w:p>
    <w:bookmarkEnd w:id="24"/>
    <w:bookmarkStart w:id="25" w:name="payroll-engine"/>
    <w:p>
      <w:pPr>
        <w:pStyle w:val="Heading3"/>
      </w:pPr>
      <w:r>
        <w:t xml:space="preserve">3.4 Payroll Engine</w:t>
      </w:r>
    </w:p>
    <w:p>
      <w:pPr>
        <w:pStyle w:val="Compact"/>
        <w:numPr>
          <w:ilvl w:val="0"/>
          <w:numId w:val="1008"/>
        </w:numPr>
      </w:pPr>
      <w:r>
        <w:t xml:space="preserve">Periods: monthly, semi‑monthly, off‑cycle.</w:t>
      </w:r>
    </w:p>
    <w:p>
      <w:pPr>
        <w:pStyle w:val="Compact"/>
        <w:numPr>
          <w:ilvl w:val="0"/>
          <w:numId w:val="1008"/>
        </w:numPr>
      </w:pPr>
      <w:r>
        <w:t xml:space="preserve">Calculations:</w:t>
      </w:r>
    </w:p>
    <w:p>
      <w:pPr>
        <w:pStyle w:val="Compact"/>
        <w:numPr>
          <w:ilvl w:val="1"/>
          <w:numId w:val="1009"/>
        </w:numPr>
      </w:pPr>
      <w:r>
        <w:t xml:space="preserve">Gross → taxable → contributions (employee/employer) → net.</w:t>
      </w:r>
    </w:p>
    <w:p>
      <w:pPr>
        <w:pStyle w:val="Compact"/>
        <w:numPr>
          <w:ilvl w:val="1"/>
          <w:numId w:val="1009"/>
        </w:numPr>
      </w:pPr>
      <w:r>
        <w:t xml:space="preserve">Greek bonuses (δώρα/επίδομα) pro‑rations and clawbacks.</w:t>
      </w:r>
    </w:p>
    <w:p>
      <w:pPr>
        <w:pStyle w:val="Compact"/>
        <w:numPr>
          <w:ilvl w:val="1"/>
          <w:numId w:val="1009"/>
        </w:numPr>
      </w:pPr>
      <w:r>
        <w:t xml:space="preserve">Leaves (paid/unpaid), sick pay, maternity/paternity/parental.</w:t>
      </w:r>
    </w:p>
    <w:p>
      <w:pPr>
        <w:pStyle w:val="Compact"/>
        <w:numPr>
          <w:ilvl w:val="1"/>
          <w:numId w:val="1009"/>
        </w:numPr>
      </w:pPr>
      <w:r>
        <w:t xml:space="preserve">Benefits in kind, imputed income, meal vouchers, company car logic.</w:t>
      </w:r>
    </w:p>
    <w:p>
      <w:pPr>
        <w:pStyle w:val="Compact"/>
        <w:numPr>
          <w:ilvl w:val="1"/>
          <w:numId w:val="1009"/>
        </w:numPr>
      </w:pPr>
      <w:r>
        <w:t xml:space="preserve">Tips module (points‑based distribution) with employer top‑ups and tax treatment mapping.</w:t>
      </w:r>
    </w:p>
    <w:p>
      <w:pPr>
        <w:pStyle w:val="Compact"/>
        <w:numPr>
          <w:ilvl w:val="0"/>
          <w:numId w:val="1008"/>
        </w:numPr>
      </w:pPr>
      <w:r>
        <w:t xml:space="preserve">Multi‑contract per person; concurrent jobs with separate cost centers.</w:t>
      </w:r>
    </w:p>
    <w:bookmarkEnd w:id="25"/>
    <w:bookmarkStart w:id="26" w:name="payments-accounting"/>
    <w:p>
      <w:pPr>
        <w:pStyle w:val="Heading3"/>
      </w:pPr>
      <w:r>
        <w:t xml:space="preserve">3.5 Payments &amp; Accounting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SEPA pain.001</w:t>
      </w:r>
      <w:r>
        <w:t xml:space="preserve"> </w:t>
      </w:r>
      <w:r>
        <w:t xml:space="preserve">salary files with Greek banks (Alpha, Eurobank, NBG, Piraeus).</w:t>
      </w:r>
    </w:p>
    <w:p>
      <w:pPr>
        <w:pStyle w:val="Compact"/>
        <w:numPr>
          <w:ilvl w:val="0"/>
          <w:numId w:val="1010"/>
        </w:numPr>
      </w:pPr>
      <w:r>
        <w:t xml:space="preserve">Net pay split across multiple IBANs; off‑cycle urgent SEPA Inst support.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Bank formats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All four major banks (Alpha, Eurobank, National Bank of Greece, Piraeus) follow ISO 20022 XML, but include</w:t>
      </w:r>
      <w:r>
        <w:t xml:space="preserve"> </w:t>
      </w:r>
      <w:r>
        <w:rPr>
          <w:b/>
          <w:bCs/>
        </w:rPr>
        <w:t xml:space="preserve">bank‑specific validations</w:t>
      </w:r>
      <w:r>
        <w:t xml:space="preserve">:</w:t>
      </w:r>
    </w:p>
    <w:p>
      <w:pPr>
        <w:pStyle w:val="Compact"/>
        <w:numPr>
          <w:ilvl w:val="2"/>
          <w:numId w:val="1012"/>
        </w:numPr>
      </w:pPr>
      <w:r>
        <w:rPr>
          <w:b/>
          <w:bCs/>
        </w:rPr>
        <w:t xml:space="preserve">Alpha</w:t>
      </w:r>
      <w:r>
        <w:t xml:space="preserve">: Requires creditor tax ID in remittance information.</w:t>
      </w:r>
    </w:p>
    <w:p>
      <w:pPr>
        <w:pStyle w:val="Compact"/>
        <w:numPr>
          <w:ilvl w:val="2"/>
          <w:numId w:val="1012"/>
        </w:numPr>
      </w:pPr>
      <w:r>
        <w:rPr>
          <w:b/>
          <w:bCs/>
        </w:rPr>
        <w:t xml:space="preserve">Eurobank</w:t>
      </w:r>
      <w:r>
        <w:t xml:space="preserve">: Supports batch booking flag; mandates creditor reference.</w:t>
      </w:r>
    </w:p>
    <w:p>
      <w:pPr>
        <w:pStyle w:val="Compact"/>
        <w:numPr>
          <w:ilvl w:val="2"/>
          <w:numId w:val="1012"/>
        </w:numPr>
      </w:pPr>
      <w:r>
        <w:rPr>
          <w:b/>
          <w:bCs/>
        </w:rPr>
        <w:t xml:space="preserve">NBG</w:t>
      </w:r>
      <w:r>
        <w:t xml:space="preserve">: Extended 35‑char end‑to‑end ID; rejects duplicates.</w:t>
      </w:r>
    </w:p>
    <w:p>
      <w:pPr>
        <w:pStyle w:val="Compact"/>
        <w:numPr>
          <w:ilvl w:val="2"/>
          <w:numId w:val="1012"/>
        </w:numPr>
      </w:pPr>
      <w:r>
        <w:rPr>
          <w:b/>
          <w:bCs/>
        </w:rPr>
        <w:t xml:space="preserve">Piraeus</w:t>
      </w:r>
      <w:r>
        <w:t xml:space="preserve">: Requires debtor address; allows multiple debtor accounts per file.</w:t>
      </w:r>
    </w:p>
    <w:p>
      <w:pPr>
        <w:pStyle w:val="Compact"/>
        <w:numPr>
          <w:ilvl w:val="0"/>
          <w:numId w:val="1010"/>
        </w:numPr>
      </w:pPr>
      <w:r>
        <w:t xml:space="preserve">GL export (journal) per entity/property; mapping to ERP (SoftOne, Epsilon, SAP, Navision).</w:t>
      </w:r>
    </w:p>
    <w:bookmarkEnd w:id="26"/>
    <w:bookmarkStart w:id="27" w:name="filings-compliance"/>
    <w:p>
      <w:pPr>
        <w:pStyle w:val="Heading3"/>
      </w:pPr>
      <w:r>
        <w:t xml:space="preserve">3.6 Filings &amp; Compliance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APD (e‑EFKA)</w:t>
      </w:r>
      <w:r>
        <w:t xml:space="preserve"> </w:t>
      </w:r>
      <w:r>
        <w:t xml:space="preserve">generator + validator; submission tracker; receipt store.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ΦΜΥ (AADE)</w:t>
      </w:r>
      <w:r>
        <w:t xml:space="preserve"> </w:t>
      </w:r>
      <w:r>
        <w:t xml:space="preserve">monthly withholding file creation; merge utility; payment reminders.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ERGANI II</w:t>
      </w:r>
      <w:r>
        <w:t xml:space="preserve"> </w:t>
      </w:r>
      <w:r>
        <w:t xml:space="preserve">form pack: Hire, schedule pre‑announcement/reporting, overtime, changes, termination.</w:t>
      </w:r>
    </w:p>
    <w:p>
      <w:pPr>
        <w:pStyle w:val="Compact"/>
        <w:numPr>
          <w:ilvl w:val="0"/>
          <w:numId w:val="1013"/>
        </w:numPr>
      </w:pPr>
      <w:r>
        <w:t xml:space="preserve">Digital Work Card dashboards: coverage, submission success, inspector pack.</w:t>
      </w:r>
    </w:p>
    <w:bookmarkEnd w:id="27"/>
    <w:bookmarkStart w:id="28" w:name="selfservice-mobile"/>
    <w:p>
      <w:pPr>
        <w:pStyle w:val="Heading3"/>
      </w:pPr>
      <w:r>
        <w:t xml:space="preserve">3.7 Self‑Service &amp; Mobile</w:t>
      </w:r>
    </w:p>
    <w:p>
      <w:pPr>
        <w:pStyle w:val="Compact"/>
        <w:numPr>
          <w:ilvl w:val="0"/>
          <w:numId w:val="1014"/>
        </w:numPr>
      </w:pPr>
      <w:r>
        <w:t xml:space="preserve">Employee: payslips, year‑end certificates, hours, leave balance, punch history, corrections.</w:t>
      </w:r>
    </w:p>
    <w:p>
      <w:pPr>
        <w:pStyle w:val="Compact"/>
        <w:numPr>
          <w:ilvl w:val="0"/>
          <w:numId w:val="1014"/>
        </w:numPr>
      </w:pPr>
      <w:r>
        <w:t xml:space="preserve">Manager: who’s on now, approve OT/exceptions, roster, quick hire.</w:t>
      </w:r>
    </w:p>
    <w:bookmarkEnd w:id="28"/>
    <w:bookmarkStart w:id="29" w:name="analytics-forecasting"/>
    <w:p>
      <w:pPr>
        <w:pStyle w:val="Heading3"/>
      </w:pPr>
      <w:r>
        <w:t xml:space="preserve">3.8 Analytics &amp; Forecasting</w:t>
      </w:r>
    </w:p>
    <w:p>
      <w:pPr>
        <w:pStyle w:val="Compact"/>
        <w:numPr>
          <w:ilvl w:val="0"/>
          <w:numId w:val="1015"/>
        </w:numPr>
      </w:pPr>
      <w:r>
        <w:t xml:space="preserve">Labor cost forecast by department/property; variance vs budget.</w:t>
      </w:r>
    </w:p>
    <w:p>
      <w:pPr>
        <w:pStyle w:val="Compact"/>
        <w:numPr>
          <w:ilvl w:val="0"/>
          <w:numId w:val="1015"/>
        </w:numPr>
      </w:pPr>
      <w:r>
        <w:t xml:space="preserve">OT heatmaps; compliance KPIs (submission success, exception rate).</w:t>
      </w:r>
    </w:p>
    <w:p>
      <w:pPr>
        <w:pStyle w:val="Compact"/>
        <w:numPr>
          <w:ilvl w:val="0"/>
          <w:numId w:val="1015"/>
        </w:numPr>
      </w:pPr>
      <w:r>
        <w:t xml:space="preserve">Turnover, absenteeism, productivity (labor cost per occupied room/cover).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hotelspecific-enhancements"/>
    <w:p>
      <w:pPr>
        <w:pStyle w:val="Heading2"/>
      </w:pPr>
      <w:r>
        <w:t xml:space="preserve">4) Hotel‑Specific Enhancements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Seasonality toolkit</w:t>
      </w:r>
      <w:r>
        <w:t xml:space="preserve">: batch (re)hire, mass contract renewals, seniority carry‑over rules.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Accommodation &amp; meal allowances</w:t>
      </w:r>
      <w:r>
        <w:t xml:space="preserve"> </w:t>
      </w:r>
      <w:r>
        <w:t xml:space="preserve">with per‑day caps.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Tip pooling</w:t>
      </w:r>
      <w:r>
        <w:t xml:space="preserve"> </w:t>
      </w:r>
      <w:r>
        <w:t xml:space="preserve">engine with role weights, shifts, hours, guest feedback multipliers (optional).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Split‑shift &amp; split‑costing</w:t>
      </w:r>
      <w:r>
        <w:t xml:space="preserve"> </w:t>
      </w:r>
      <w:r>
        <w:t xml:space="preserve">to multiple outlets in one day.</w:t>
      </w:r>
    </w:p>
    <w:p>
      <w:r>
        <w:pict>
          <v:rect style="width:0;height:1.5pt" o:hralign="center" o:hrstd="t" o:hr="t"/>
        </w:pict>
      </w:r>
    </w:p>
    <w:bookmarkEnd w:id="31"/>
    <w:bookmarkStart w:id="33" w:name="ux-architecture-3level-menu-example"/>
    <w:p>
      <w:pPr>
        <w:pStyle w:val="Heading2"/>
      </w:pPr>
      <w:r>
        <w:t xml:space="preserve">5) UX Architecture — 3‑Level Menu (Example)</w:t>
      </w:r>
    </w:p>
    <w:bookmarkStart w:id="32" w:name="level-1-level-2-level-3"/>
    <w:p>
      <w:pPr>
        <w:pStyle w:val="Heading3"/>
      </w:pPr>
      <w:r>
        <w:t xml:space="preserve">Level 1 → Level 2 → Level 3</w:t>
      </w:r>
    </w:p>
    <w:p>
      <w:pPr>
        <w:pStyle w:val="FirstParagraph"/>
      </w:pPr>
      <w:r>
        <w:rPr>
          <w:b/>
          <w:bCs/>
        </w:rPr>
        <w:t xml:space="preserve">Dashboard</w:t>
      </w:r>
      <w:r>
        <w:t xml:space="preserve"> </w:t>
      </w:r>
      <w:r>
        <w:t xml:space="preserve">- Live Compliance → Digital Card Status / ERGANI Queue / APD &amp; ΦΜΥ deadlines</w:t>
      </w:r>
      <w:r>
        <w:t xml:space="preserve"> </w:t>
      </w:r>
      <w:r>
        <w:t xml:space="preserve">- Cost Insights → Labor Forecast / OT Heatmap / Variance vs Budget</w:t>
      </w:r>
    </w:p>
    <w:p>
      <w:pPr>
        <w:pStyle w:val="BodyText"/>
      </w:pPr>
      <w:r>
        <w:rPr>
          <w:b/>
          <w:bCs/>
        </w:rPr>
        <w:t xml:space="preserve">People</w:t>
      </w:r>
      <w:r>
        <w:t xml:space="preserve"> </w:t>
      </w:r>
      <w:r>
        <w:t xml:space="preserve">- Employees → Profiles / Contracts / Documents / Assignments</w:t>
      </w:r>
      <w:r>
        <w:t xml:space="preserve"> </w:t>
      </w:r>
      <w:r>
        <w:t xml:space="preserve">- Teams &amp; Rotas → Builder / Templates / Approvals</w:t>
      </w:r>
    </w:p>
    <w:p>
      <w:pPr>
        <w:pStyle w:val="BodyText"/>
      </w:pPr>
      <w:r>
        <w:rPr>
          <w:b/>
          <w:bCs/>
        </w:rPr>
        <w:t xml:space="preserve">Time</w:t>
      </w:r>
      <w:r>
        <w:t xml:space="preserve"> </w:t>
      </w:r>
      <w:r>
        <w:t xml:space="preserve">- Punches → Today / Exceptions / Corrections</w:t>
      </w:r>
      <w:r>
        <w:t xml:space="preserve"> </w:t>
      </w:r>
      <w:r>
        <w:t xml:space="preserve">- Schedules → Publish / Change Log / ERGANI Actions</w:t>
      </w:r>
    </w:p>
    <w:p>
      <w:pPr>
        <w:pStyle w:val="BodyText"/>
      </w:pPr>
      <w:r>
        <w:rPr>
          <w:b/>
          <w:bCs/>
        </w:rPr>
        <w:t xml:space="preserve">Payroll</w:t>
      </w:r>
      <w:r>
        <w:t xml:space="preserve"> </w:t>
      </w:r>
      <w:r>
        <w:t xml:space="preserve">- Runs → Draft / Validate / Finalize / Post‑Run Audit</w:t>
      </w:r>
      <w:r>
        <w:t xml:space="preserve"> </w:t>
      </w:r>
      <w:r>
        <w:t xml:space="preserve">- Components → Earnings / Deductions / Rates / Benefits in Kind</w:t>
      </w:r>
      <w:r>
        <w:t xml:space="preserve"> </w:t>
      </w:r>
      <w:r>
        <w:t xml:space="preserve">- Bonuses → Δώρο Πάσχα / Χριστουγέννων / Επίδομα Άδειας</w:t>
      </w:r>
    </w:p>
    <w:p>
      <w:pPr>
        <w:pStyle w:val="BodyText"/>
      </w:pPr>
      <w:r>
        <w:rPr>
          <w:b/>
          <w:bCs/>
        </w:rPr>
        <w:t xml:space="preserve">Filings</w:t>
      </w:r>
      <w:r>
        <w:t xml:space="preserve"> </w:t>
      </w:r>
      <w:r>
        <w:t xml:space="preserve">- ERGANI II → Hires / Schedules / OT / Terminations / Receipts</w:t>
      </w:r>
      <w:r>
        <w:t xml:space="preserve"> </w:t>
      </w:r>
      <w:r>
        <w:t xml:space="preserve">- e‑EFKA/APD → Build / Validate / Submit / Receipts</w:t>
      </w:r>
      <w:r>
        <w:t xml:space="preserve"> </w:t>
      </w:r>
      <w:r>
        <w:t xml:space="preserve">- AADE/ΦΜΥ → Build File / Merge / Submit / Payment</w:t>
      </w:r>
    </w:p>
    <w:p>
      <w:pPr>
        <w:pStyle w:val="BodyText"/>
      </w:pPr>
      <w:r>
        <w:rPr>
          <w:b/>
          <w:bCs/>
        </w:rPr>
        <w:t xml:space="preserve">Payments</w:t>
      </w:r>
      <w:r>
        <w:t xml:space="preserve"> </w:t>
      </w:r>
      <w:r>
        <w:t xml:space="preserve">- Salary Files → Create SEPA / Approvals / Bank Receipts</w:t>
      </w:r>
      <w:r>
        <w:t xml:space="preserve"> </w:t>
      </w:r>
      <w:r>
        <w:t xml:space="preserve">- Off‑Cycle → Urgent / Corrections / Reversals</w:t>
      </w:r>
    </w:p>
    <w:p>
      <w:pPr>
        <w:pStyle w:val="BodyText"/>
      </w:pPr>
      <w:r>
        <w:rPr>
          <w:b/>
          <w:bCs/>
        </w:rPr>
        <w:t xml:space="preserve">Accounting</w:t>
      </w:r>
      <w:r>
        <w:t xml:space="preserve"> </w:t>
      </w:r>
      <w:r>
        <w:t xml:space="preserve">- Journal Export → Map / Preview / Post</w:t>
      </w:r>
      <w:r>
        <w:t xml:space="preserve"> </w:t>
      </w:r>
      <w:r>
        <w:t xml:space="preserve">- Reconciliation → Payroll vs GL / Variances</w:t>
      </w:r>
    </w:p>
    <w:p>
      <w:pPr>
        <w:pStyle w:val="BodyText"/>
      </w:pPr>
      <w:r>
        <w:rPr>
          <w:b/>
          <w:bCs/>
        </w:rPr>
        <w:t xml:space="preserve">Settings</w:t>
      </w:r>
      <w:r>
        <w:t xml:space="preserve"> </w:t>
      </w:r>
      <w:r>
        <w:t xml:space="preserve">- Policies → Overtime / Night / Sunday/Holiday / Breaks / Tips</w:t>
      </w:r>
      <w:r>
        <w:t xml:space="preserve"> </w:t>
      </w:r>
      <w:r>
        <w:t xml:space="preserve">- Compliance → Minimum Wage Tables / Effective‑Date Rules</w:t>
      </w:r>
      <w:r>
        <w:t xml:space="preserve"> </w:t>
      </w:r>
      <w:r>
        <w:t xml:space="preserve">- Integrations → ERGANI / EFKA / AADE / Banks / ERP / SSO</w:t>
      </w:r>
      <w:r>
        <w:t xml:space="preserve"> </w:t>
      </w:r>
      <w:r>
        <w:t xml:space="preserve">- Security → Roles / Data Retention / Audit Log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data-model-highlevel"/>
    <w:p>
      <w:pPr>
        <w:pStyle w:val="Heading2"/>
      </w:pPr>
      <w:r>
        <w:t xml:space="preserve">6) Data Model (High‑Level)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Employee</w:t>
      </w:r>
      <w:r>
        <w:t xml:space="preserve">(id, afm, amka, name, dob, iban, hire_date, term_date, entity_id)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Contract</w:t>
      </w:r>
      <w:r>
        <w:t xml:space="preserve">(id, employee_id, type, grade, base_pay, allowances_json, fte_pct, property_id, cba_id)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Shift</w:t>
      </w:r>
      <w:r>
        <w:t xml:space="preserve">(id, employee_id, property_id, start_planned, end_planned, role, tags)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Punch</w:t>
      </w:r>
      <w:r>
        <w:t xml:space="preserve">(id, employee_id, property_id, ts, type, source, lat, lon, device_id, offline_flag, signature_hash)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Timesheet</w:t>
      </w:r>
      <w:r>
        <w:t xml:space="preserve">(id, employee_id, period, reg_hours, night_hours, sunday_hours, holiday_hours, ot_tier_hours_json, leave_minutes_json, cost_center_splits)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PayrollLine</w:t>
      </w:r>
      <w:r>
        <w:t xml:space="preserve">(run_id, employee_id, code, hours, units, amount, cost_center, notes)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Filing</w:t>
      </w:r>
      <w:r>
        <w:t xml:space="preserve">(id, type, period, status, receipt_ref, payload_hash)</w:t>
      </w:r>
    </w:p>
    <w:p>
      <w:r>
        <w:pict>
          <v:rect style="width:0;height:1.5pt" o:hralign="center" o:hrstd="t" o:hr="t"/>
        </w:pict>
      </w:r>
    </w:p>
    <w:bookmarkEnd w:id="34"/>
    <w:bookmarkStart w:id="35" w:name="rules-engine-dsl"/>
    <w:p>
      <w:pPr>
        <w:pStyle w:val="Heading2"/>
      </w:pPr>
      <w:r>
        <w:t xml:space="preserve">7) Rules Engine (DSL)</w:t>
      </w:r>
    </w:p>
    <w:p>
      <w:pPr>
        <w:pStyle w:val="FirstParagraph"/>
      </w:pPr>
      <w:r>
        <w:rPr>
          <w:b/>
          <w:bCs/>
        </w:rPr>
        <w:t xml:space="preserve">Concept:</w:t>
      </w:r>
      <w:r>
        <w:t xml:space="preserve"> </w:t>
      </w:r>
      <w:r>
        <w:t xml:space="preserve">A human‑readable YAML/JSON DSL that compiles to executable rules with versioning &amp; effective dates.</w:t>
      </w:r>
    </w:p>
    <w:p>
      <w:pPr>
        <w:pStyle w:val="BodyText"/>
      </w:pPr>
      <w:r>
        <w:t xml:space="preserve">Example (pseudo‑YAML):</w:t>
      </w:r>
    </w:p>
    <w:p>
      <w:pPr>
        <w:pStyle w:val="SourceCode"/>
      </w:pPr>
      <w:r>
        <w:rPr>
          <w:rStyle w:val="FunctionTok"/>
        </w:rPr>
        <w:t xml:space="preserve">rule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"MinimumWage"</w:t>
      </w:r>
      <w:r>
        <w:br/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2025.04</w:t>
      </w:r>
      <w:r>
        <w:br/>
      </w:r>
      <w:r>
        <w:rPr>
          <w:rStyle w:val="FunctionTok"/>
        </w:rPr>
        <w:t xml:space="preserve">applies_to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"base_monthly_salary"</w:t>
      </w:r>
      <w:r>
        <w:rPr>
          <w:rStyle w:val="KeywordTok"/>
        </w:rPr>
        <w:t xml:space="preserve">]</w:t>
      </w:r>
      <w:r>
        <w:br/>
      </w:r>
      <w:r>
        <w:rPr>
          <w:rStyle w:val="FunctionTok"/>
        </w:rPr>
        <w:t xml:space="preserve">condition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employee.contract.type in ["indefinite","fixed","seasonal"]</w:t>
      </w:r>
      <w:r>
        <w:br/>
      </w:r>
      <w:r>
        <w:rPr>
          <w:rStyle w:val="FunctionTok"/>
        </w:rPr>
        <w:t xml:space="preserve">threshold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880.00</w:t>
      </w:r>
      <w:r>
        <w:br/>
      </w:r>
      <w:r>
        <w:rPr>
          <w:rStyle w:val="FunctionTok"/>
        </w:rPr>
        <w:t xml:space="preserve">action_on_violation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block_finalize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alert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"payroll_admin"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message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"Base pay below statutory minimum."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</w:p>
    <w:p>
      <w:pPr>
        <w:pStyle w:val="FirstParagraph"/>
      </w:pPr>
      <w:r>
        <w:t xml:space="preserve">Overtime/Night Bands:</w:t>
      </w:r>
    </w:p>
    <w:p>
      <w:pPr>
        <w:pStyle w:val="SourceCode"/>
      </w:pPr>
      <w:r>
        <w:rPr>
          <w:rStyle w:val="FunctionTok"/>
        </w:rPr>
        <w:t xml:space="preserve">rule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"NightHours"</w:t>
      </w:r>
      <w:r>
        <w:br/>
      </w:r>
      <w:r>
        <w:rPr>
          <w:rStyle w:val="FunctionTok"/>
        </w:rPr>
        <w:t xml:space="preserve">band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start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"22:00"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end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"06:00"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FunctionTok"/>
        </w:rPr>
        <w:t xml:space="preserve">premium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0.25</w:t>
      </w:r>
      <w:r>
        <w:rPr>
          <w:rStyle w:val="CommentTok"/>
        </w:rPr>
        <w:t xml:space="preserve">  # 25% premium applied to base hourly</w:t>
      </w:r>
    </w:p>
    <w:p>
      <w:pPr>
        <w:pStyle w:val="FirstParagraph"/>
      </w:pPr>
      <w:r>
        <w:t xml:space="preserve">ERGANI scheduling mode (pre‑announcement vs reporting) per entity with auto‑routing.</w:t>
      </w:r>
    </w:p>
    <w:p>
      <w:r>
        <w:pict>
          <v:rect style="width:0;height:1.5pt" o:hralign="center" o:hrstd="t" o:hr="t"/>
        </w:pict>
      </w:r>
    </w:p>
    <w:bookmarkEnd w:id="35"/>
    <w:bookmarkStart w:id="36" w:name="apis-selected"/>
    <w:p>
      <w:pPr>
        <w:pStyle w:val="Heading2"/>
      </w:pPr>
      <w:r>
        <w:t xml:space="preserve">8) APIs (Selected)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Auth</w:t>
      </w:r>
      <w:r>
        <w:t xml:space="preserve">: OIDC/SAML SSO; SCIM for user provisioning.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Employees</w:t>
      </w:r>
      <w:r>
        <w:t xml:space="preserve">:</w:t>
      </w:r>
      <w:r>
        <w:t xml:space="preserve"> </w:t>
      </w:r>
      <w:r>
        <w:rPr>
          <w:rStyle w:val="VerbatimChar"/>
        </w:rPr>
        <w:t xml:space="preserve">GET/POST /employees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/employees/{id}/contracts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Time</w:t>
      </w:r>
      <w:r>
        <w:t xml:space="preserve">:</w:t>
      </w:r>
      <w:r>
        <w:t xml:space="preserve"> </w:t>
      </w:r>
      <w:r>
        <w:rPr>
          <w:rStyle w:val="VerbatimChar"/>
        </w:rPr>
        <w:t xml:space="preserve">POST /punches</w:t>
      </w:r>
      <w:r>
        <w:t xml:space="preserve"> </w:t>
      </w:r>
      <w:r>
        <w:t xml:space="preserve">(idempotent),</w:t>
      </w:r>
      <w:r>
        <w:t xml:space="preserve"> </w:t>
      </w:r>
      <w:r>
        <w:rPr>
          <w:rStyle w:val="VerbatimChar"/>
        </w:rPr>
        <w:t xml:space="preserve">GET /timesheets?period=YYYY‑MM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Payroll</w:t>
      </w:r>
      <w:r>
        <w:t xml:space="preserve">:</w:t>
      </w:r>
      <w:r>
        <w:t xml:space="preserve"> </w:t>
      </w:r>
      <w:r>
        <w:rPr>
          <w:rStyle w:val="VerbatimChar"/>
        </w:rPr>
        <w:t xml:space="preserve">POST /runs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/runs/{id}/finalize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/runs/{id}/audit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Filings</w:t>
      </w:r>
      <w:r>
        <w:t xml:space="preserve">:</w:t>
      </w:r>
      <w:r>
        <w:t xml:space="preserve"> </w:t>
      </w:r>
      <w:r>
        <w:rPr>
          <w:rStyle w:val="VerbatimChar"/>
        </w:rPr>
        <w:t xml:space="preserve">POST /filings/apd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/filings/fmy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/filings/ergani/{event}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Payments</w:t>
      </w:r>
      <w:r>
        <w:t xml:space="preserve">:</w:t>
      </w:r>
      <w:r>
        <w:t xml:space="preserve"> </w:t>
      </w:r>
      <w:r>
        <w:rPr>
          <w:rStyle w:val="VerbatimChar"/>
        </w:rPr>
        <w:t xml:space="preserve">POST /payments/sepa</w:t>
      </w:r>
      <w:r>
        <w:t xml:space="preserve"> </w:t>
      </w:r>
      <w:r>
        <w:t xml:space="preserve">(returns pain.001),</w:t>
      </w:r>
      <w:r>
        <w:t xml:space="preserve"> </w:t>
      </w:r>
      <w:r>
        <w:rPr>
          <w:rStyle w:val="VerbatimChar"/>
        </w:rPr>
        <w:t xml:space="preserve">GET /payments/{id}/status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Webhooks</w:t>
      </w:r>
      <w:r>
        <w:t xml:space="preserve">:</w:t>
      </w:r>
      <w:r>
        <w:t xml:space="preserve"> </w:t>
      </w:r>
      <w:r>
        <w:rPr>
          <w:rStyle w:val="VerbatimChar"/>
        </w:rPr>
        <w:t xml:space="preserve">timesheet.locked</w:t>
      </w:r>
      <w:r>
        <w:t xml:space="preserve">,</w:t>
      </w:r>
      <w:r>
        <w:t xml:space="preserve"> </w:t>
      </w:r>
      <w:r>
        <w:rPr>
          <w:rStyle w:val="VerbatimChar"/>
        </w:rPr>
        <w:t xml:space="preserve">filing.submitted</w:t>
      </w:r>
      <w:r>
        <w:t xml:space="preserve">,</w:t>
      </w:r>
      <w:r>
        <w:t xml:space="preserve"> </w:t>
      </w:r>
      <w:r>
        <w:rPr>
          <w:rStyle w:val="VerbatimChar"/>
        </w:rPr>
        <w:t xml:space="preserve">payment.sent</w:t>
      </w:r>
      <w:r>
        <w:t xml:space="preserve">,</w:t>
      </w:r>
      <w:r>
        <w:t xml:space="preserve"> </w:t>
      </w:r>
      <w:r>
        <w:rPr>
          <w:rStyle w:val="VerbatimChar"/>
        </w:rPr>
        <w:t xml:space="preserve">ergani.error</w:t>
      </w:r>
      <w:r>
        <w:t xml:space="preserve">.</w:t>
      </w:r>
    </w:p>
    <w:p>
      <w:pPr>
        <w:pStyle w:val="FirstParagraph"/>
      </w:pPr>
      <w:r>
        <w:t xml:space="preserve">Idempotency keys on all write endpoints; signed payloads for audit.</w:t>
      </w:r>
    </w:p>
    <w:p>
      <w:r>
        <w:pict>
          <v:rect style="width:0;height:1.5pt" o:hralign="center" o:hrstd="t" o:hr="t"/>
        </w:pict>
      </w:r>
    </w:p>
    <w:bookmarkEnd w:id="36"/>
    <w:bookmarkStart w:id="37" w:name="security-privacy-audit"/>
    <w:p>
      <w:pPr>
        <w:pStyle w:val="Heading2"/>
      </w:pPr>
      <w:r>
        <w:t xml:space="preserve">9) Security, Privacy, Audit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GDPR‑native</w:t>
      </w:r>
      <w:r>
        <w:t xml:space="preserve">: purpose limitation, data minimization, DSR workflows, encryption at rest (AES‑256) &amp; in transit (TLS1.3).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RBAC &amp; SoD</w:t>
      </w:r>
      <w:r>
        <w:t xml:space="preserve">: dual approval for filings and payments; maker‑checker on corrections.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Immutable audit log</w:t>
      </w:r>
      <w:r>
        <w:t xml:space="preserve">: append‑only, hash‑chained events; exportable for inspectors.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Data residency</w:t>
      </w:r>
      <w:r>
        <w:t xml:space="preserve">: EU zones; configurable backups; 30/60/90‑day PIT restore.</w:t>
      </w:r>
    </w:p>
    <w:p>
      <w:r>
        <w:pict>
          <v:rect style="width:0;height:1.5pt" o:hralign="center" o:hrstd="t" o:hr="t"/>
        </w:pict>
      </w:r>
    </w:p>
    <w:bookmarkEnd w:id="37"/>
    <w:bookmarkStart w:id="38" w:name="reports-official-artefacts"/>
    <w:p>
      <w:pPr>
        <w:pStyle w:val="Heading2"/>
      </w:pPr>
      <w:r>
        <w:t xml:space="preserve">10) Reports &amp; Official Artefacts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85"/>
        <w:gridCol w:w="1485"/>
        <w:gridCol w:w="1980"/>
        <w:gridCol w:w="1485"/>
        <w:gridCol w:w="148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Report/Form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Frequency</w:t>
            </w:r>
          </w:p>
        </w:tc>
        <w:tc>
          <w:tcPr/>
          <w:p>
            <w:pPr>
              <w:pStyle w:val="Compact"/>
            </w:pPr>
            <w:r>
              <w:t xml:space="preserve">Recipient/System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Social Security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APD (ΑΠΔ)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Monthly</w:t>
            </w:r>
          </w:p>
        </w:tc>
        <w:tc>
          <w:tcPr/>
          <w:p>
            <w:pPr>
              <w:pStyle w:val="Compact"/>
            </w:pPr>
            <w:r>
              <w:t xml:space="preserve">e‑EFKA</w:t>
            </w:r>
          </w:p>
        </w:tc>
        <w:tc>
          <w:tcPr/>
          <w:p>
            <w:pPr>
              <w:pStyle w:val="Compact"/>
            </w:pPr>
            <w:r>
              <w:t xml:space="preserve">File + receipt store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Tax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ΦΜΥ</w:t>
            </w:r>
            <w:r>
              <w:t xml:space="preserve"> </w:t>
            </w:r>
            <w:r>
              <w:t xml:space="preserve">Withholding File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Monthly</w:t>
            </w:r>
          </w:p>
        </w:tc>
        <w:tc>
          <w:tcPr/>
          <w:p>
            <w:pPr>
              <w:pStyle w:val="Compact"/>
            </w:pPr>
            <w:r>
              <w:t xml:space="preserve">AADE</w:t>
            </w:r>
          </w:p>
        </w:tc>
        <w:tc>
          <w:tcPr/>
          <w:p>
            <w:pPr>
              <w:pStyle w:val="Compact"/>
            </w:pPr>
            <w:r>
              <w:t xml:space="preserve">File builder + merge utility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Labor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ERGANI II</w:t>
            </w:r>
            <w:r>
              <w:t xml:space="preserve"> </w:t>
            </w:r>
            <w:r>
              <w:t xml:space="preserve">events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Real‑time / As needed</w:t>
            </w:r>
          </w:p>
        </w:tc>
        <w:tc>
          <w:tcPr/>
          <w:p>
            <w:pPr>
              <w:pStyle w:val="Compact"/>
            </w:pPr>
            <w:r>
              <w:t xml:space="preserve">ERGANI II</w:t>
            </w:r>
          </w:p>
        </w:tc>
        <w:tc>
          <w:tcPr/>
          <w:p>
            <w:pPr>
              <w:pStyle w:val="Compact"/>
            </w:pPr>
            <w:r>
              <w:t xml:space="preserve">Hires, schedules, OT, terminations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Payslips</w:t>
            </w:r>
          </w:p>
        </w:tc>
        <w:tc>
          <w:tcPr/>
          <w:p>
            <w:pPr>
              <w:pStyle w:val="Compact"/>
            </w:pPr>
            <w:r>
              <w:t xml:space="preserve">Employee Payslip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Per run</w:t>
            </w:r>
          </w:p>
        </w:tc>
        <w:tc>
          <w:tcPr/>
          <w:p>
            <w:pPr>
              <w:pStyle w:val="Compact"/>
            </w:pPr>
            <w:r>
              <w:t xml:space="preserve">Employee</w:t>
            </w:r>
          </w:p>
        </w:tc>
        <w:tc>
          <w:tcPr/>
          <w:p>
            <w:pPr>
              <w:pStyle w:val="Compact"/>
            </w:pPr>
            <w:r>
              <w:t xml:space="preserve">Web &amp; PDF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Annual</w:t>
            </w:r>
          </w:p>
        </w:tc>
        <w:tc>
          <w:tcPr/>
          <w:p>
            <w:pPr>
              <w:pStyle w:val="Compact"/>
            </w:pPr>
            <w:r>
              <w:t xml:space="preserve">Βεβαίωση Αποδοχών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Annual</w:t>
            </w:r>
          </w:p>
        </w:tc>
        <w:tc>
          <w:tcPr/>
          <w:p>
            <w:pPr>
              <w:pStyle w:val="Compact"/>
            </w:pPr>
            <w:r>
              <w:t xml:space="preserve">Employees/AADE</w:t>
            </w:r>
          </w:p>
        </w:tc>
        <w:tc>
          <w:tcPr/>
          <w:p>
            <w:pPr>
              <w:pStyle w:val="Compact"/>
            </w:pPr>
            <w:r>
              <w:t xml:space="preserve">e‑file + PDF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Accounting</w:t>
            </w:r>
          </w:p>
        </w:tc>
        <w:tc>
          <w:tcPr/>
          <w:p>
            <w:pPr>
              <w:pStyle w:val="Compact"/>
            </w:pPr>
            <w:r>
              <w:t xml:space="preserve">GL Journal Export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Per run</w:t>
            </w:r>
          </w:p>
        </w:tc>
        <w:tc>
          <w:tcPr/>
          <w:p>
            <w:pPr>
              <w:pStyle w:val="Compact"/>
            </w:pPr>
            <w:r>
              <w:t xml:space="preserve">ERP</w:t>
            </w:r>
          </w:p>
        </w:tc>
        <w:tc>
          <w:tcPr/>
          <w:p>
            <w:pPr>
              <w:pStyle w:val="Compact"/>
            </w:pPr>
            <w:r>
              <w:t xml:space="preserve">Multi‑entity, multi‑property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</w:t>
            </w:r>
          </w:p>
        </w:tc>
        <w:tc>
          <w:tcPr/>
          <w:p>
            <w:pPr>
              <w:pStyle w:val="Compact"/>
            </w:pPr>
            <w:r>
              <w:t xml:space="preserve">Digital Card Pack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On demand</w:t>
            </w:r>
          </w:p>
        </w:tc>
        <w:tc>
          <w:tcPr/>
          <w:p>
            <w:pPr>
              <w:pStyle w:val="Compact"/>
            </w:pPr>
            <w:r>
              <w:t xml:space="preserve">Inspector</w:t>
            </w:r>
          </w:p>
        </w:tc>
        <w:tc>
          <w:tcPr/>
          <w:p>
            <w:pPr>
              <w:pStyle w:val="Compact"/>
            </w:pPr>
            <w:r>
              <w:t xml:space="preserve">Punch ledger + receipts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Start w:id="39" w:name="earnings-codes-map-suggested"/>
    <w:p>
      <w:pPr>
        <w:pStyle w:val="Heading2"/>
      </w:pPr>
      <w:r>
        <w:t xml:space="preserve">11) Earnings Codes Map (Suggested)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</w:t>
            </w:r>
          </w:p>
        </w:tc>
        <w:tc>
          <w:tcPr/>
          <w:p>
            <w:pPr>
              <w:pStyle w:val="Compact"/>
            </w:pPr>
            <w:r>
              <w:t xml:space="preserve">Regular hours</w:t>
            </w:r>
          </w:p>
        </w:tc>
        <w:tc>
          <w:tcPr/>
          <w:p>
            <w:pPr>
              <w:pStyle w:val="Compact"/>
            </w:pPr>
            <w:r>
              <w:t xml:space="preserve">Base salary or daily wage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OT1</w:t>
            </w:r>
          </w:p>
        </w:tc>
        <w:tc>
          <w:tcPr/>
          <w:p>
            <w:pPr>
              <w:pStyle w:val="Compact"/>
            </w:pPr>
            <w:r>
              <w:t xml:space="preserve">Overtime (up to legal limit)</w:t>
            </w:r>
          </w:p>
        </w:tc>
        <w:tc>
          <w:tcPr/>
          <w:p>
            <w:pPr>
              <w:pStyle w:val="Compact"/>
            </w:pPr>
            <w:r>
              <w:t xml:space="preserve">+40% rate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OT2</w:t>
            </w:r>
          </w:p>
        </w:tc>
        <w:tc>
          <w:tcPr/>
          <w:p>
            <w:pPr>
              <w:pStyle w:val="Compact"/>
            </w:pPr>
            <w:r>
              <w:t xml:space="preserve">Overtime (beyond legal)</w:t>
            </w:r>
          </w:p>
        </w:tc>
        <w:tc>
          <w:tcPr/>
          <w:p>
            <w:pPr>
              <w:pStyle w:val="Compact"/>
            </w:pPr>
            <w:r>
              <w:t xml:space="preserve">+60% rate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NIGHT</w:t>
            </w:r>
          </w:p>
        </w:tc>
        <w:tc>
          <w:tcPr/>
          <w:p>
            <w:pPr>
              <w:pStyle w:val="Compact"/>
            </w:pPr>
            <w:r>
              <w:t xml:space="preserve">Night premium</w:t>
            </w:r>
          </w:p>
        </w:tc>
        <w:tc>
          <w:tcPr/>
          <w:p>
            <w:pPr>
              <w:pStyle w:val="Compact"/>
            </w:pPr>
            <w:r>
              <w:t xml:space="preserve">22:00–06:00, +25%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SUNDAY</w:t>
            </w:r>
          </w:p>
        </w:tc>
        <w:tc>
          <w:tcPr/>
          <w:p>
            <w:pPr>
              <w:pStyle w:val="Compact"/>
            </w:pPr>
            <w:r>
              <w:t xml:space="preserve">Sunday premium</w:t>
            </w:r>
          </w:p>
        </w:tc>
        <w:tc>
          <w:tcPr/>
          <w:p>
            <w:pPr>
              <w:pStyle w:val="Compact"/>
            </w:pPr>
            <w:r>
              <w:t xml:space="preserve">+75%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HOLIDAY</w:t>
            </w:r>
          </w:p>
        </w:tc>
        <w:tc>
          <w:tcPr/>
          <w:p>
            <w:pPr>
              <w:pStyle w:val="Compact"/>
            </w:pPr>
            <w:r>
              <w:t xml:space="preserve">Public holiday</w:t>
            </w:r>
          </w:p>
        </w:tc>
        <w:tc>
          <w:tcPr/>
          <w:p>
            <w:pPr>
              <w:pStyle w:val="Compact"/>
            </w:pPr>
            <w:r>
              <w:t xml:space="preserve">+100%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BONUS_EASTER</w:t>
            </w:r>
          </w:p>
        </w:tc>
        <w:tc>
          <w:tcPr/>
          <w:p>
            <w:pPr>
              <w:pStyle w:val="Compact"/>
            </w:pPr>
            <w:r>
              <w:t xml:space="preserve">Δώρο Πάσχα</w:t>
            </w:r>
          </w:p>
        </w:tc>
        <w:tc>
          <w:tcPr/>
          <w:p>
            <w:pPr>
              <w:pStyle w:val="Compact"/>
            </w:pPr>
            <w:r>
              <w:t xml:space="preserve">Prorated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BONUS_XMAS</w:t>
            </w:r>
          </w:p>
        </w:tc>
        <w:tc>
          <w:tcPr/>
          <w:p>
            <w:pPr>
              <w:pStyle w:val="Compact"/>
            </w:pPr>
            <w:r>
              <w:t xml:space="preserve">Δώρο Χριστουγέννων</w:t>
            </w:r>
          </w:p>
        </w:tc>
        <w:tc>
          <w:tcPr/>
          <w:p>
            <w:pPr>
              <w:pStyle w:val="Compact"/>
            </w:pPr>
            <w:r>
              <w:t xml:space="preserve">Prorated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BONUS_LEAVE</w:t>
            </w:r>
          </w:p>
        </w:tc>
        <w:tc>
          <w:tcPr/>
          <w:p>
            <w:pPr>
              <w:pStyle w:val="Compact"/>
            </w:pPr>
            <w:r>
              <w:t xml:space="preserve">Επίδομα Άδειας</w:t>
            </w:r>
          </w:p>
        </w:tc>
        <w:tc>
          <w:tcPr/>
          <w:p>
            <w:pPr>
              <w:pStyle w:val="Compact"/>
            </w:pPr>
            <w:r>
              <w:t xml:space="preserve">Prorated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ALLOW_FOOD</w:t>
            </w:r>
          </w:p>
        </w:tc>
        <w:tc>
          <w:tcPr/>
          <w:p>
            <w:pPr>
              <w:pStyle w:val="Compact"/>
            </w:pPr>
            <w:r>
              <w:t xml:space="preserve">Food allowance</w:t>
            </w:r>
          </w:p>
        </w:tc>
        <w:tc>
          <w:tcPr/>
          <w:p>
            <w:pPr>
              <w:pStyle w:val="Compact"/>
            </w:pPr>
            <w:r>
              <w:t xml:space="preserve">Taxable/non‑taxable flag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ALLOW_HOUSING</w:t>
            </w:r>
          </w:p>
        </w:tc>
        <w:tc>
          <w:tcPr/>
          <w:p>
            <w:pPr>
              <w:pStyle w:val="Compact"/>
            </w:pPr>
            <w:r>
              <w:t xml:space="preserve">Housing allowance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ALLOW_TRANSPORT</w:t>
            </w:r>
          </w:p>
        </w:tc>
        <w:tc>
          <w:tcPr/>
          <w:p>
            <w:pPr>
              <w:pStyle w:val="Compact"/>
            </w:pPr>
            <w:r>
              <w:t xml:space="preserve">Transport allowance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TIPS</w:t>
            </w:r>
          </w:p>
        </w:tc>
        <w:tc>
          <w:tcPr/>
          <w:p>
            <w:pPr>
              <w:pStyle w:val="Compact"/>
            </w:pPr>
            <w:r>
              <w:t xml:space="preserve">Tip distribution</w:t>
            </w:r>
          </w:p>
        </w:tc>
        <w:tc>
          <w:tcPr/>
          <w:p>
            <w:pPr>
              <w:pStyle w:val="Compact"/>
            </w:pPr>
            <w:r>
              <w:t xml:space="preserve">Gross → tax mapping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BIK_CAR</w:t>
            </w:r>
          </w:p>
        </w:tc>
        <w:tc>
          <w:tcPr/>
          <w:p>
            <w:pPr>
              <w:pStyle w:val="Compact"/>
            </w:pPr>
            <w:r>
              <w:t xml:space="preserve">Benefit in kind: car</w:t>
            </w:r>
          </w:p>
        </w:tc>
        <w:tc>
          <w:tcPr/>
          <w:p>
            <w:pPr>
              <w:pStyle w:val="Compact"/>
            </w:pPr>
            <w:r>
              <w:t xml:space="preserve">Imputed income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BIK_MEAL</w:t>
            </w:r>
          </w:p>
        </w:tc>
        <w:tc>
          <w:tcPr/>
          <w:p>
            <w:pPr>
              <w:pStyle w:val="Compact"/>
            </w:pPr>
            <w:r>
              <w:t xml:space="preserve">Benefit in kind: meal vouchers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LEAVE_PAID</w:t>
            </w:r>
          </w:p>
        </w:tc>
        <w:tc>
          <w:tcPr/>
          <w:p>
            <w:pPr>
              <w:pStyle w:val="Compact"/>
            </w:pPr>
            <w:r>
              <w:t xml:space="preserve">Paid leave</w:t>
            </w:r>
          </w:p>
        </w:tc>
        <w:tc>
          <w:tcPr/>
          <w:p>
            <w:pPr>
              <w:pStyle w:val="Compact"/>
            </w:pPr>
            <w:r>
              <w:t xml:space="preserve">Absence mapping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LEAVE_UNPAID</w:t>
            </w:r>
          </w:p>
        </w:tc>
        <w:tc>
          <w:tcPr/>
          <w:p>
            <w:pPr>
              <w:pStyle w:val="Compact"/>
            </w:pPr>
            <w:r>
              <w:t xml:space="preserve">Unpaid leave</w:t>
            </w:r>
          </w:p>
        </w:tc>
        <w:tc>
          <w:tcPr/>
          <w:p>
            <w:pPr>
              <w:pStyle w:val="Compact"/>
            </w:pPr>
            <w:r>
              <w:t xml:space="preserve">No pay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MATERNITY</w:t>
            </w:r>
          </w:p>
        </w:tc>
        <w:tc>
          <w:tcPr/>
          <w:p>
            <w:pPr>
              <w:pStyle w:val="Compact"/>
            </w:pPr>
            <w:r>
              <w:t xml:space="preserve">Maternity leave pay</w:t>
            </w:r>
          </w:p>
        </w:tc>
        <w:tc>
          <w:tcPr/>
          <w:p>
            <w:pPr>
              <w:pStyle w:val="Compact"/>
            </w:pPr>
            <w:r>
              <w:t xml:space="preserve">Employer or OAED covered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PARENTAL</w:t>
            </w:r>
          </w:p>
        </w:tc>
        <w:tc>
          <w:tcPr/>
          <w:p>
            <w:pPr>
              <w:pStyle w:val="Compact"/>
            </w:pPr>
            <w:r>
              <w:t xml:space="preserve">Parental leave pay</w:t>
            </w:r>
          </w:p>
        </w:tc>
        <w:tc>
          <w:tcPr/>
          <w:p>
            <w:pPr>
              <w:pStyle w:val="Compact"/>
            </w:pPr>
            <w:r>
              <w:t xml:space="preserve">As per law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Start w:id="40" w:name="implementation-plan"/>
    <w:p>
      <w:pPr>
        <w:pStyle w:val="Heading2"/>
      </w:pPr>
      <w:r>
        <w:t xml:space="preserve">12) Implementation Plan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Discovery</w:t>
      </w:r>
      <w:r>
        <w:t xml:space="preserve">: entities/properties, CBAs, bank formats, ERP map.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Configure</w:t>
      </w:r>
      <w:r>
        <w:t xml:space="preserve">: policies, minimum wage tables, night/OT bands, tip scheme.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Integrate</w:t>
      </w:r>
      <w:r>
        <w:t xml:space="preserve">: ERGANI, e‑EFKA, AADE; banks; ERP; SSO.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Migrate</w:t>
      </w:r>
      <w:r>
        <w:t xml:space="preserve">: employees/contracts; balances; historical filings (receipts).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Pilot</w:t>
      </w:r>
      <w:r>
        <w:t xml:space="preserve">: one property/department; parallel run vs incumbent; sign‑off.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Rollout</w:t>
      </w:r>
      <w:r>
        <w:t xml:space="preserve">: phased per property; training; go‑live checklist.</w:t>
      </w:r>
    </w:p>
    <w:p>
      <w:r>
        <w:pict>
          <v:rect style="width:0;height:1.5pt" o:hralign="center" o:hrstd="t" o:hr="t"/>
        </w:pict>
      </w:r>
    </w:p>
    <w:bookmarkEnd w:id="40"/>
    <w:bookmarkStart w:id="41" w:name="qa-validation"/>
    <w:p>
      <w:pPr>
        <w:pStyle w:val="Heading2"/>
      </w:pPr>
      <w:r>
        <w:t xml:space="preserve">13) QA &amp; Validation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Golden dataset</w:t>
      </w:r>
      <w:r>
        <w:t xml:space="preserve"> </w:t>
      </w:r>
      <w:r>
        <w:t xml:space="preserve">with edge cases (partial months, split shifts, bonuses, maternity, terminations mid‑period).</w:t>
      </w:r>
    </w:p>
    <w:p>
      <w:pPr>
        <w:pStyle w:val="Compact"/>
        <w:numPr>
          <w:ilvl w:val="0"/>
          <w:numId w:val="1021"/>
        </w:numPr>
      </w:pPr>
      <w:r>
        <w:t xml:space="preserve">Reconciliation harness: timesheet → payroll lines → APD/ΦΜΥ → GL.</w:t>
      </w:r>
    </w:p>
    <w:p>
      <w:pPr>
        <w:pStyle w:val="Compact"/>
        <w:numPr>
          <w:ilvl w:val="0"/>
          <w:numId w:val="1021"/>
        </w:numPr>
      </w:pPr>
      <w:r>
        <w:t xml:space="preserve">Fuzz tests for time overlaps and ERGANI routing; bank file checksum validation.</w:t>
      </w:r>
    </w:p>
    <w:p>
      <w:r>
        <w:pict>
          <v:rect style="width:0;height:1.5pt" o:hralign="center" o:hrstd="t" o:hr="t"/>
        </w:pict>
      </w:r>
    </w:p>
    <w:bookmarkEnd w:id="41"/>
    <w:bookmarkStart w:id="42" w:name="aiautomation-roadmap-optional"/>
    <w:p>
      <w:pPr>
        <w:pStyle w:val="Heading2"/>
      </w:pPr>
      <w:r>
        <w:t xml:space="preserve">14) AI/Automation Roadmap (Optional)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Compliance Copilot</w:t>
      </w:r>
      <w:r>
        <w:t xml:space="preserve">: flags anomalies (under‑min wage, excessive OT, missing rests) and auto‑proposes fixes.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Forecasting</w:t>
      </w:r>
      <w:r>
        <w:t xml:space="preserve">: staffing cost vs occupancy; OT prediction by outlet.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Document AI</w:t>
      </w:r>
      <w:r>
        <w:t xml:space="preserve">: OCR for paper contracts/IDs; e‑signature pipelines.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Chat Ops</w:t>
      </w:r>
      <w:r>
        <w:t xml:space="preserve">: Slack/Teams approvals for OT, exceptions, and payroll finalize.</w:t>
      </w:r>
    </w:p>
    <w:p>
      <w:r>
        <w:pict>
          <v:rect style="width:0;height:1.5pt" o:hralign="center" o:hrstd="t" o:hr="t"/>
        </w:pict>
      </w:r>
    </w:p>
    <w:bookmarkEnd w:id="42"/>
    <w:bookmarkStart w:id="43" w:name="hotel-tip-pooling-detail"/>
    <w:p>
      <w:pPr>
        <w:pStyle w:val="Heading2"/>
      </w:pPr>
      <w:r>
        <w:t xml:space="preserve">15) Hotel Tip Pooling (Detail)</w:t>
      </w:r>
    </w:p>
    <w:p>
      <w:pPr>
        <w:pStyle w:val="Compact"/>
        <w:numPr>
          <w:ilvl w:val="0"/>
          <w:numId w:val="1023"/>
        </w:numPr>
      </w:pPr>
      <w:r>
        <w:t xml:space="preserve">Define roles, weights, points per shift/hour, service multipliers.</w:t>
      </w:r>
    </w:p>
    <w:p>
      <w:pPr>
        <w:pStyle w:val="Compact"/>
        <w:numPr>
          <w:ilvl w:val="0"/>
          <w:numId w:val="1023"/>
        </w:numPr>
      </w:pPr>
      <w:r>
        <w:t xml:space="preserve">Import POS revenue by outlet; allocate % to pool; distribute per points.</w:t>
      </w:r>
    </w:p>
    <w:p>
      <w:pPr>
        <w:pStyle w:val="Compact"/>
        <w:numPr>
          <w:ilvl w:val="0"/>
          <w:numId w:val="1023"/>
        </w:numPr>
      </w:pPr>
      <w:r>
        <w:t xml:space="preserve">Employer top‑up rules; tax mapping (earnings code), payslip breakdown.</w:t>
      </w:r>
    </w:p>
    <w:p>
      <w:r>
        <w:pict>
          <v:rect style="width:0;height:1.5pt" o:hralign="center" o:hrstd="t" o:hr="t"/>
        </w:pict>
      </w:r>
    </w:p>
    <w:bookmarkEnd w:id="43"/>
    <w:bookmarkStart w:id="44" w:name="change-log-legal-watch"/>
    <w:p>
      <w:pPr>
        <w:pStyle w:val="Heading2"/>
      </w:pPr>
      <w:r>
        <w:t xml:space="preserve">16) Change Log &amp; Legal Watch</w:t>
      </w:r>
    </w:p>
    <w:p>
      <w:pPr>
        <w:pStyle w:val="Compact"/>
        <w:numPr>
          <w:ilvl w:val="0"/>
          <w:numId w:val="1024"/>
        </w:numPr>
      </w:pPr>
      <w:r>
        <w:t xml:space="preserve">Versioned rule packs with effective dates; sandbox diff viewer.</w:t>
      </w:r>
    </w:p>
    <w:p>
      <w:pPr>
        <w:pStyle w:val="Compact"/>
        <w:numPr>
          <w:ilvl w:val="0"/>
          <w:numId w:val="1024"/>
        </w:numPr>
      </w:pPr>
      <w:r>
        <w:t xml:space="preserve">One‑click publish to tenants after legal approval.</w:t>
      </w:r>
    </w:p>
    <w:p>
      <w:r>
        <w:pict>
          <v:rect style="width:0;height:1.5pt" o:hralign="center" o:hrstd="t" o:hr="t"/>
        </w:pict>
      </w:r>
    </w:p>
    <w:bookmarkEnd w:id="44"/>
    <w:bookmarkStart w:id="48" w:name="success-metrics"/>
    <w:p>
      <w:pPr>
        <w:pStyle w:val="Heading2"/>
      </w:pPr>
      <w:r>
        <w:t xml:space="preserve">17) Success Metrics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&lt; 1%</w:t>
      </w:r>
      <w:r>
        <w:t xml:space="preserve"> </w:t>
      </w:r>
      <w:r>
        <w:t xml:space="preserve">unresolved exceptions per pay period.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≥ 99%</w:t>
      </w:r>
      <w:r>
        <w:t xml:space="preserve"> </w:t>
      </w:r>
      <w:r>
        <w:t xml:space="preserve">ERGANI/APD/ΦΜΥ submission success.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≤ 15 min</w:t>
      </w:r>
      <w:r>
        <w:t xml:space="preserve"> </w:t>
      </w:r>
      <w:r>
        <w:t xml:space="preserve">end‑to‑end payroll run for 200 employees.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Zero</w:t>
      </w:r>
      <w:r>
        <w:t xml:space="preserve"> </w:t>
      </w:r>
      <w:r>
        <w:t xml:space="preserve">manual re‑key to ERP;</w:t>
      </w:r>
      <w:r>
        <w:t xml:space="preserve"> </w:t>
      </w:r>
      <w:r>
        <w:rPr>
          <w:b/>
          <w:bCs/>
        </w:rPr>
        <w:t xml:space="preserve">100%</w:t>
      </w:r>
      <w:r>
        <w:t xml:space="preserve"> </w:t>
      </w:r>
      <w:r>
        <w:t xml:space="preserve">SEPA auto‑reconcile.</w:t>
      </w:r>
    </w:p>
    <w:p>
      <w:r>
        <w:pict>
          <v:rect style="width:0;height:1.5pt" o:hralign="center" o:hrstd="t" o:hr="t"/>
        </w:pict>
      </w:r>
    </w:p>
    <w:bookmarkStart w:id="45" w:name="appendix-sample-payslip-structure"/>
    <w:p>
      <w:pPr>
        <w:pStyle w:val="Heading3"/>
      </w:pPr>
      <w:r>
        <w:t xml:space="preserve">Appendix: Sample Payslip (Structure)</w:t>
      </w:r>
    </w:p>
    <w:p>
      <w:pPr>
        <w:pStyle w:val="Compact"/>
        <w:numPr>
          <w:ilvl w:val="0"/>
          <w:numId w:val="1026"/>
        </w:numPr>
      </w:pPr>
      <w:r>
        <w:t xml:space="preserve">Header (entity, period, AFM/AMKA, IBAN masked).</w:t>
      </w:r>
    </w:p>
    <w:p>
      <w:pPr>
        <w:pStyle w:val="Compact"/>
        <w:numPr>
          <w:ilvl w:val="0"/>
          <w:numId w:val="1026"/>
        </w:numPr>
      </w:pPr>
      <w:r>
        <w:t xml:space="preserve">Earnings: base, allowances, OT tiers, night/Sunday/holiday, tips.</w:t>
      </w:r>
    </w:p>
    <w:p>
      <w:pPr>
        <w:pStyle w:val="Compact"/>
        <w:numPr>
          <w:ilvl w:val="0"/>
          <w:numId w:val="1026"/>
        </w:numPr>
      </w:pPr>
      <w:r>
        <w:t xml:space="preserve">Deductions: EFKA employee, auxiliary, tax, solidarity (if applicable), garnishments.</w:t>
      </w:r>
    </w:p>
    <w:p>
      <w:pPr>
        <w:pStyle w:val="Compact"/>
        <w:numPr>
          <w:ilvl w:val="0"/>
          <w:numId w:val="1026"/>
        </w:numPr>
      </w:pPr>
      <w:r>
        <w:t xml:space="preserve">Employer contributions.</w:t>
      </w:r>
    </w:p>
    <w:p>
      <w:pPr>
        <w:pStyle w:val="Compact"/>
        <w:numPr>
          <w:ilvl w:val="0"/>
          <w:numId w:val="1026"/>
        </w:numPr>
      </w:pPr>
      <w:r>
        <w:t xml:space="preserve">Net payable; YTD summaries; QR to employee portal.</w:t>
      </w:r>
    </w:p>
    <w:bookmarkEnd w:id="45"/>
    <w:bookmarkStart w:id="46" w:name="appendix-sample-sepa-file-metadata"/>
    <w:p>
      <w:pPr>
        <w:pStyle w:val="Heading3"/>
      </w:pPr>
      <w:r>
        <w:t xml:space="preserve">Appendix: Sample SEPA File Metadata</w:t>
      </w:r>
    </w:p>
    <w:p>
      <w:pPr>
        <w:pStyle w:val="Compact"/>
        <w:numPr>
          <w:ilvl w:val="0"/>
          <w:numId w:val="1027"/>
        </w:numPr>
      </w:pPr>
      <w:r>
        <w:t xml:space="preserve">pain.001.001.03</w:t>
      </w:r>
    </w:p>
    <w:p>
      <w:pPr>
        <w:pStyle w:val="Compact"/>
        <w:numPr>
          <w:ilvl w:val="0"/>
          <w:numId w:val="1027"/>
        </w:numPr>
      </w:pPr>
      <w:r>
        <w:t xml:space="preserve">Batch booking flag, requested execution date, debtor IBAN/BIC, end‑to‑end IDs per employee.</w:t>
      </w:r>
    </w:p>
    <w:p>
      <w:pPr>
        <w:pStyle w:val="Compact"/>
        <w:numPr>
          <w:ilvl w:val="0"/>
          <w:numId w:val="1027"/>
        </w:numPr>
      </w:pPr>
      <w:r>
        <w:t xml:space="preserve">Bank‑specific fields per Alpha, Eurobank, NBG, Piraeus.</w:t>
      </w:r>
    </w:p>
    <w:bookmarkEnd w:id="46"/>
    <w:bookmarkStart w:id="47" w:name="appendix-example-gl-mapping"/>
    <w:p>
      <w:pPr>
        <w:pStyle w:val="Heading3"/>
      </w:pPr>
      <w:r>
        <w:t xml:space="preserve">Appendix: Example GL Mapping</w:t>
      </w:r>
    </w:p>
    <w:p>
      <w:pPr>
        <w:pStyle w:val="Compact"/>
        <w:numPr>
          <w:ilvl w:val="0"/>
          <w:numId w:val="1028"/>
        </w:numPr>
      </w:pPr>
      <w:r>
        <w:t xml:space="preserve">Wages regular (60.00.xx), OT premiums (60.01.xx), employer contributions (60.10.xx), tips (pass‑through), liabilities (33.xx ΦΜΥ, 33.xx EFKA), bank clearing (38.xx).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49" w:name="Xddf93718a9a8752b8ec130fe3c2def957bde191"/>
    <w:p>
      <w:pPr>
        <w:pStyle w:val="Heading2"/>
      </w:pPr>
      <w:r>
        <w:t xml:space="preserve">Addendum A — Earnings Codes Map (Greece, 2025 Defaults)</w:t>
      </w:r>
    </w:p>
    <w:p>
      <w:pPr>
        <w:pStyle w:val="BlockText"/>
      </w:pPr>
      <w:r>
        <w:t xml:space="preserve">These are opinionated defaults aligned to current Greek practice. All percentages and caps are</w:t>
      </w:r>
      <w:r>
        <w:t xml:space="preserve"> </w:t>
      </w:r>
      <w:r>
        <w:rPr>
          <w:b/>
          <w:bCs/>
        </w:rPr>
        <w:t xml:space="preserve">policy‑driven</w:t>
      </w:r>
      <w:r>
        <w:t xml:space="preserve"> </w:t>
      </w:r>
      <w:r>
        <w:t xml:space="preserve">and can be updated with effective dates.</w:t>
      </w:r>
    </w:p>
    <w:p>
      <w:pPr>
        <w:pStyle w:val="FirstParagraph"/>
      </w:pPr>
      <w:r>
        <w:rPr>
          <w:b/>
          <w:bCs/>
        </w:rPr>
        <w:t xml:space="preserve">Key policy variables (defaults):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ANNUAL_OT_CAP_HOURS = 150</w:t>
      </w:r>
      <w:r>
        <w:t xml:space="preserve"> </w:t>
      </w:r>
      <w:r>
        <w:t xml:space="preserve">(legal overtime cap per year)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NIGHT_BAND = 22:00–06:00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SUNDAY_AND_PUBLIC_HOLIDAY_PREMIUM = +75%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NIGHT_PREMIUM = +25%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SIXTH_DAY_PREMIUM = +40%</w:t>
      </w:r>
      <w:r>
        <w:t xml:space="preserve"> </w:t>
      </w:r>
      <w:r>
        <w:t xml:space="preserve">(only for sectors where the 6‑day scheme applies;</w:t>
      </w:r>
      <w:r>
        <w:t xml:space="preserve"> </w:t>
      </w:r>
      <w:r>
        <w:rPr>
          <w:b/>
          <w:bCs/>
        </w:rPr>
        <w:t xml:space="preserve">tourism &amp; food service excluded by default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MEAL_VOUCHER_TAXFREE_PER_WORKDAY = €6.00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Calculation / Rate</w:t>
            </w:r>
          </w:p>
        </w:tc>
        <w:tc>
          <w:tcPr/>
          <w:p>
            <w:pPr>
              <w:pStyle w:val="Compact"/>
            </w:pPr>
            <w:r>
              <w:t xml:space="preserve">Taxable (AADE)</w:t>
            </w:r>
          </w:p>
        </w:tc>
        <w:tc>
          <w:tcPr/>
          <w:p>
            <w:pPr>
              <w:pStyle w:val="Compact"/>
            </w:pPr>
            <w:r>
              <w:t xml:space="preserve">EFKA Contributory</w:t>
            </w:r>
          </w:p>
        </w:tc>
        <w:tc>
          <w:tcPr/>
          <w:p>
            <w:pPr>
              <w:pStyle w:val="Compact"/>
            </w:pPr>
            <w:r>
              <w:t xml:space="preserve">APD Include</w:t>
            </w:r>
          </w:p>
        </w:tc>
        <w:tc>
          <w:tcPr/>
          <w:p>
            <w:pPr>
              <w:pStyle w:val="Compact"/>
            </w:pPr>
            <w:r>
              <w:t xml:space="preserve">Stackable?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REG</w:t>
            </w:r>
          </w:p>
        </w:tc>
        <w:tc>
          <w:tcPr/>
          <w:p>
            <w:pPr>
              <w:pStyle w:val="Compact"/>
            </w:pPr>
            <w:r>
              <w:t xml:space="preserve">Regular hours</w:t>
            </w:r>
          </w:p>
        </w:tc>
        <w:tc>
          <w:tcPr/>
          <w:p>
            <w:pPr>
              <w:pStyle w:val="Compact"/>
            </w:pPr>
            <w:r>
              <w:t xml:space="preserve">Hours × hourly rate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Base wage.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NIGHT_25</w:t>
            </w:r>
          </w:p>
        </w:tc>
        <w:tc>
          <w:tcPr/>
          <w:p>
            <w:pPr>
              <w:pStyle w:val="Compact"/>
            </w:pPr>
            <w:r>
              <w:t xml:space="preserve">Night work premium</w:t>
            </w:r>
          </w:p>
        </w:tc>
        <w:tc>
          <w:tcPr/>
          <w:p>
            <w:pPr>
              <w:pStyle w:val="Compact"/>
            </w:pPr>
            <w:r>
              <w:t xml:space="preserve">Hours in NIGHT_BAND × hourly ×</w:t>
            </w:r>
            <w:r>
              <w:t xml:space="preserve"> </w:t>
            </w:r>
            <w:r>
              <w:rPr>
                <w:b/>
                <w:bCs/>
              </w:rPr>
              <w:t xml:space="preserve">+25%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Stacks with Sunday/Holiday and OT where applicable.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SUNDAY_75</w:t>
            </w:r>
          </w:p>
        </w:tc>
        <w:tc>
          <w:tcPr/>
          <w:p>
            <w:pPr>
              <w:pStyle w:val="Compact"/>
            </w:pPr>
            <w:r>
              <w:t xml:space="preserve">Sunday premium</w:t>
            </w:r>
          </w:p>
        </w:tc>
        <w:tc>
          <w:tcPr/>
          <w:p>
            <w:pPr>
              <w:pStyle w:val="Compact"/>
            </w:pPr>
            <w:r>
              <w:t xml:space="preserve">Sunday hours × hourly ×</w:t>
            </w:r>
            <w:r>
              <w:t xml:space="preserve"> </w:t>
            </w:r>
            <w:r>
              <w:rPr>
                <w:b/>
                <w:bCs/>
              </w:rPr>
              <w:t xml:space="preserve">+75%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Requires permit where needed; stacks with Night/OT.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HOLIDAY_75</w:t>
            </w:r>
          </w:p>
        </w:tc>
        <w:tc>
          <w:tcPr/>
          <w:p>
            <w:pPr>
              <w:pStyle w:val="Compact"/>
            </w:pPr>
            <w:r>
              <w:t xml:space="preserve">Public holiday premium</w:t>
            </w:r>
          </w:p>
        </w:tc>
        <w:tc>
          <w:tcPr/>
          <w:p>
            <w:pPr>
              <w:pStyle w:val="Compact"/>
            </w:pPr>
            <w:r>
              <w:t xml:space="preserve">Holiday hours × hourly ×</w:t>
            </w:r>
            <w:r>
              <w:t xml:space="preserve"> </w:t>
            </w:r>
            <w:r>
              <w:rPr>
                <w:b/>
                <w:bCs/>
              </w:rPr>
              <w:t xml:space="preserve">+75%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Stacks with Night/OT.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SIXTH_DAY_40</w:t>
            </w:r>
          </w:p>
        </w:tc>
        <w:tc>
          <w:tcPr/>
          <w:p>
            <w:pPr>
              <w:pStyle w:val="Compact"/>
            </w:pPr>
            <w:r>
              <w:t xml:space="preserve">Sixth working day premium</w:t>
            </w:r>
          </w:p>
        </w:tc>
        <w:tc>
          <w:tcPr/>
          <w:p>
            <w:pPr>
              <w:pStyle w:val="Compact"/>
            </w:pPr>
            <w:r>
              <w:t xml:space="preserve">Eligible sixth‑day hours × hourly ×</w:t>
            </w:r>
            <w:r>
              <w:t xml:space="preserve"> </w:t>
            </w:r>
            <w:r>
              <w:rPr>
                <w:b/>
                <w:bCs/>
              </w:rPr>
              <w:t xml:space="preserve">+40%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Disabled for hospitality/tourism by default.</w:t>
            </w:r>
            <w:r>
              <w:t xml:space="preserve"> </w:t>
            </w:r>
            <w:r>
              <w:t xml:space="preserve">Enable per entity if eligible.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OT_TIER1_40</w:t>
            </w:r>
          </w:p>
        </w:tc>
        <w:tc>
          <w:tcPr/>
          <w:p>
            <w:pPr>
              <w:pStyle w:val="Compact"/>
            </w:pPr>
            <w:r>
              <w:t xml:space="preserve">Legal overtime (within cap)</w:t>
            </w:r>
          </w:p>
        </w:tc>
        <w:tc>
          <w:tcPr/>
          <w:p>
            <w:pPr>
              <w:pStyle w:val="Compact"/>
            </w:pPr>
            <w:r>
              <w:t xml:space="preserve">OT hours ≤ cap × hourly ×</w:t>
            </w:r>
            <w:r>
              <w:t xml:space="preserve"> </w:t>
            </w:r>
            <w:r>
              <w:rPr>
                <w:b/>
                <w:bCs/>
              </w:rPr>
              <w:t xml:space="preserve">+40%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Cap defined by</w:t>
            </w:r>
            <w:r>
              <w:t xml:space="preserve"> </w:t>
            </w:r>
            <w:r>
              <w:rPr>
                <w:rStyle w:val="VerbatimChar"/>
              </w:rPr>
              <w:t xml:space="preserve">ANNUAL_OT_CAP_HOURS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OT_TIER2_60</w:t>
            </w:r>
          </w:p>
        </w:tc>
        <w:tc>
          <w:tcPr/>
          <w:p>
            <w:pPr>
              <w:pStyle w:val="Compact"/>
            </w:pPr>
            <w:r>
              <w:t xml:space="preserve">Overtime above cap (with permit)</w:t>
            </w:r>
          </w:p>
        </w:tc>
        <w:tc>
          <w:tcPr/>
          <w:p>
            <w:pPr>
              <w:pStyle w:val="Compact"/>
            </w:pPr>
            <w:r>
              <w:t xml:space="preserve">OT hours beyond cap × hourly ×</w:t>
            </w:r>
            <w:r>
              <w:t xml:space="preserve"> </w:t>
            </w:r>
            <w:r>
              <w:rPr>
                <w:b/>
                <w:bCs/>
              </w:rPr>
              <w:t xml:space="preserve">+60%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Requires ministry/inspectorate authorisation.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OT_EXCEPTIONAL_80</w:t>
            </w:r>
          </w:p>
        </w:tc>
        <w:tc>
          <w:tcPr/>
          <w:p>
            <w:pPr>
              <w:pStyle w:val="Compact"/>
            </w:pPr>
            <w:r>
              <w:t xml:space="preserve">Non‑authorised overtime</w:t>
            </w:r>
          </w:p>
        </w:tc>
        <w:tc>
          <w:tcPr/>
          <w:p>
            <w:pPr>
              <w:pStyle w:val="Compact"/>
            </w:pPr>
            <w:r>
              <w:t xml:space="preserve">Hours × hourly ×</w:t>
            </w:r>
            <w:r>
              <w:t xml:space="preserve"> </w:t>
            </w:r>
            <w:r>
              <w:rPr>
                <w:b/>
                <w:bCs/>
              </w:rPr>
              <w:t xml:space="preserve">+80%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Use only via exception workflow; triggers compliance alert.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BONUS_EASTER</w:t>
            </w:r>
          </w:p>
        </w:tc>
        <w:tc>
          <w:tcPr/>
          <w:p>
            <w:pPr>
              <w:pStyle w:val="Compact"/>
            </w:pPr>
            <w:r>
              <w:t xml:space="preserve">Δώρο Πάσχα</w:t>
            </w:r>
          </w:p>
        </w:tc>
        <w:tc>
          <w:tcPr/>
          <w:p>
            <w:pPr>
              <w:pStyle w:val="Compact"/>
            </w:pPr>
            <w:r>
              <w:t xml:space="preserve">Calculated per tenure/earnings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Prorated for partial periods.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BONUS_CHRISTMAS</w:t>
            </w:r>
          </w:p>
        </w:tc>
        <w:tc>
          <w:tcPr/>
          <w:p>
            <w:pPr>
              <w:pStyle w:val="Compact"/>
            </w:pPr>
            <w:r>
              <w:t xml:space="preserve">Δώρο Χριστουγέννων</w:t>
            </w:r>
          </w:p>
        </w:tc>
        <w:tc>
          <w:tcPr/>
          <w:p>
            <w:pPr>
              <w:pStyle w:val="Compact"/>
            </w:pPr>
            <w:r>
              <w:t xml:space="preserve">Calculated per tenure/earnings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Prorated for partial periods.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ALLOWANCE_LEAVE</w:t>
            </w:r>
          </w:p>
        </w:tc>
        <w:tc>
          <w:tcPr/>
          <w:p>
            <w:pPr>
              <w:pStyle w:val="Compact"/>
            </w:pPr>
            <w:r>
              <w:t xml:space="preserve">Επίδομα Άδειας</w:t>
            </w:r>
          </w:p>
        </w:tc>
        <w:tc>
          <w:tcPr/>
          <w:p>
            <w:pPr>
              <w:pStyle w:val="Compact"/>
            </w:pPr>
            <w:r>
              <w:t xml:space="preserve">Calculated per tenure/earnings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Prorated; paid with leave.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TIPS_DISTRIBUTED</w:t>
            </w:r>
          </w:p>
        </w:tc>
        <w:tc>
          <w:tcPr/>
          <w:p>
            <w:pPr>
              <w:pStyle w:val="Compact"/>
            </w:pPr>
            <w:r>
              <w:t xml:space="preserve">Tips via employer pool</w:t>
            </w:r>
          </w:p>
        </w:tc>
        <w:tc>
          <w:tcPr/>
          <w:p>
            <w:pPr>
              <w:pStyle w:val="Compact"/>
            </w:pPr>
            <w:r>
              <w:t xml:space="preserve">Amount per distribution rules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Configurable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Contributory flag per policy (true/false by role/arrangement).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MEAL_VOUCHER</w:t>
            </w:r>
          </w:p>
        </w:tc>
        <w:tc>
          <w:tcPr/>
          <w:p>
            <w:pPr>
              <w:pStyle w:val="Compact"/>
            </w:pPr>
            <w:r>
              <w:t xml:space="preserve">Meal vouchers/allowance</w:t>
            </w:r>
          </w:p>
        </w:tc>
        <w:tc>
          <w:tcPr/>
          <w:p>
            <w:pPr>
              <w:pStyle w:val="Compact"/>
            </w:pPr>
            <w:r>
              <w:t xml:space="preserve">≤</w:t>
            </w:r>
            <w:r>
              <w:t xml:space="preserve"> </w:t>
            </w:r>
            <w:r>
              <w:rPr>
                <w:b/>
                <w:bCs/>
              </w:rPr>
              <w:t xml:space="preserve">€6/day</w:t>
            </w:r>
            <w:r>
              <w:t xml:space="preserve"> </w:t>
            </w:r>
            <w:r>
              <w:t xml:space="preserve">non‑tax &amp; non‑contrib; excess taxed</w:t>
            </w:r>
          </w:p>
        </w:tc>
        <w:tc>
          <w:tcPr/>
          <w:p>
            <w:pPr>
              <w:pStyle w:val="Compact"/>
            </w:pPr>
            <w:r>
              <w:t xml:space="preserve">Partially</w:t>
            </w:r>
          </w:p>
        </w:tc>
        <w:tc>
          <w:tcPr/>
          <w:p>
            <w:pPr>
              <w:pStyle w:val="Compact"/>
            </w:pPr>
            <w:r>
              <w:t xml:space="preserve">Partially</w:t>
            </w:r>
          </w:p>
        </w:tc>
        <w:tc>
          <w:tcPr/>
          <w:p>
            <w:pPr>
              <w:pStyle w:val="Compact"/>
            </w:pPr>
            <w:r>
              <w:t xml:space="preserve">Partially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Engine splits into exempt vs taxable/contributory overage.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TRAVEL_PER_DIEM</w:t>
            </w:r>
          </w:p>
        </w:tc>
        <w:tc>
          <w:tcPr/>
          <w:p>
            <w:pPr>
              <w:pStyle w:val="Compact"/>
            </w:pPr>
            <w:r>
              <w:t xml:space="preserve">Domestic/foreign per diems</w:t>
            </w:r>
          </w:p>
        </w:tc>
        <w:tc>
          <w:tcPr/>
          <w:p>
            <w:pPr>
              <w:pStyle w:val="Compact"/>
            </w:pPr>
            <w:r>
              <w:t xml:space="preserve">Non‑tax/non‑contrib within statutory limits</w:t>
            </w:r>
          </w:p>
        </w:tc>
        <w:tc>
          <w:tcPr/>
          <w:p>
            <w:pPr>
              <w:pStyle w:val="Compact"/>
            </w:pPr>
            <w:r>
              <w:t xml:space="preserve">Partially</w:t>
            </w:r>
          </w:p>
        </w:tc>
        <w:tc>
          <w:tcPr/>
          <w:p>
            <w:pPr>
              <w:pStyle w:val="Compact"/>
            </w:pPr>
            <w:r>
              <w:t xml:space="preserve">No (within limits)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Excess over limits auto‑reclassed to taxable wage.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SICK_EMP_50</w:t>
            </w:r>
          </w:p>
        </w:tc>
        <w:tc>
          <w:tcPr/>
          <w:p>
            <w:pPr>
              <w:pStyle w:val="Compact"/>
            </w:pPr>
            <w:r>
              <w:t xml:space="preserve">Employer sick pay (first 3 days</w:t>
            </w:r>
            <w:r>
              <w:t xml:space="preserve"> </w:t>
            </w:r>
            <w:r>
              <w:t xml:space="preserve">@50</w:t>
            </w:r>
            <w:r>
              <w:t xml:space="preserve">%)</w:t>
            </w:r>
          </w:p>
        </w:tc>
        <w:tc>
          <w:tcPr/>
          <w:p>
            <w:pPr>
              <w:pStyle w:val="Compact"/>
            </w:pPr>
            <w:r>
              <w:t xml:space="preserve">Days × rule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EFKA benefit offsets beyond day 3 are recorded under</w:t>
            </w:r>
            <w:r>
              <w:t xml:space="preserve"> </w:t>
            </w:r>
            <w:r>
              <w:rPr>
                <w:rStyle w:val="VerbatimChar"/>
              </w:rPr>
              <w:t xml:space="preserve">SICK_EFKA</w:t>
            </w:r>
            <w:r>
              <w:t xml:space="preserve"> </w:t>
            </w:r>
            <w:r>
              <w:t xml:space="preserve">(non‑tax).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SICK_EFKA</w:t>
            </w:r>
          </w:p>
        </w:tc>
        <w:tc>
          <w:tcPr/>
          <w:p>
            <w:pPr>
              <w:pStyle w:val="Compact"/>
            </w:pPr>
            <w:r>
              <w:t xml:space="preserve">EFKA sickness benefit (info)</w:t>
            </w:r>
          </w:p>
        </w:tc>
        <w:tc>
          <w:tcPr/>
          <w:p>
            <w:pPr>
              <w:pStyle w:val="Compact"/>
            </w:pPr>
            <w:r>
              <w:t xml:space="preserve">Paid by EFKA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Informational offset; not wages.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HOLIDAY_NOT_WORKED</w:t>
            </w:r>
          </w:p>
        </w:tc>
        <w:tc>
          <w:tcPr/>
          <w:p>
            <w:pPr>
              <w:pStyle w:val="Compact"/>
            </w:pPr>
            <w:r>
              <w:t xml:space="preserve">Paid public holiday (salaried)</w:t>
            </w:r>
          </w:p>
        </w:tc>
        <w:tc>
          <w:tcPr/>
          <w:p>
            <w:pPr>
              <w:pStyle w:val="Compact"/>
            </w:pPr>
            <w:r>
              <w:t xml:space="preserve">Daily wage as per contract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Where applicable for salaried employees.</w:t>
            </w:r>
          </w:p>
        </w:tc>
      </w:tr>
    </w:tbl>
    <w:p>
      <w:pPr>
        <w:pStyle w:val="BodyText"/>
      </w:pPr>
      <w:r>
        <w:rPr>
          <w:b/>
          <w:bCs/>
        </w:rPr>
        <w:t xml:space="preserve">Stacking logic (engine):</w:t>
      </w:r>
      <w:r>
        <w:t xml:space="preserve"> </w:t>
      </w:r>
      <w:r>
        <w:t xml:space="preserve">If a worked hour qualifies for multiple premiums (e.g., Night + Sunday + OT), the engine</w:t>
      </w:r>
      <w:r>
        <w:t xml:space="preserve"> </w:t>
      </w:r>
      <w:r>
        <w:rPr>
          <w:b/>
          <w:bCs/>
        </w:rPr>
        <w:t xml:space="preserve">splits lines</w:t>
      </w:r>
      <w:r>
        <w:t xml:space="preserve"> </w:t>
      </w:r>
      <w:r>
        <w:t xml:space="preserve">so each premium is explicit on the payslip and in the APD.</w:t>
      </w:r>
    </w:p>
    <w:p>
      <w:pPr>
        <w:pStyle w:val="BodyText"/>
      </w:pPr>
      <w:r>
        <w:rPr>
          <w:b/>
          <w:bCs/>
        </w:rPr>
        <w:t xml:space="preserve">GL mapping (defaults):</w:t>
      </w:r>
      <w:r>
        <w:t xml:space="preserve"> </w:t>
      </w:r>
      <w:r>
        <w:t xml:space="preserve">- REG → 60.00.xx | NIGHT_25 → 60.01.xx | SUNDAY_75/HOLIDAY_75 → 60.02.xx | OT_* → 60.03.xx</w:t>
      </w:r>
      <w:r>
        <w:t xml:space="preserve"> </w:t>
      </w:r>
      <w:r>
        <w:t xml:space="preserve">- Bonuses/Allowance → 60.05.xx | Employer contributions → 60.10.xx | Tips → 60.12.xx</w:t>
      </w:r>
    </w:p>
    <w:p>
      <w:pPr>
        <w:pStyle w:val="BlockText"/>
      </w:pPr>
      <w:r>
        <w:t xml:space="preserve">All codes ship with validation rules (min wage checks, rest periods, permits) and inspector‑ready audit narratives.</w:t>
      </w:r>
    </w:p>
    <w:p>
      <w:r>
        <w:pict>
          <v:rect style="width:0;height:1.5pt" o:hralign="center" o:hrstd="t" o:hr="t"/>
        </w:pict>
      </w:r>
    </w:p>
    <w:bookmarkEnd w:id="49"/>
    <w:bookmarkStart w:id="54" w:name="addendum-b-sepa-bank-formats-for-payroll"/>
    <w:p>
      <w:pPr>
        <w:pStyle w:val="Heading2"/>
      </w:pPr>
      <w:r>
        <w:t xml:space="preserve">Addendum B — SEPA Bank Formats for Payroll</w:t>
      </w:r>
    </w:p>
    <w:p>
      <w:pPr>
        <w:pStyle w:val="FirstParagraph"/>
      </w:pPr>
      <w:r>
        <w:rPr>
          <w:b/>
          <w:bCs/>
        </w:rPr>
        <w:t xml:space="preserve">Common settings (recommended defaults):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Message:</w:t>
      </w:r>
      <w:r>
        <w:t xml:space="preserve"> </w:t>
      </w:r>
      <w:r>
        <w:t xml:space="preserve">ISO 20022</w:t>
      </w:r>
      <w:r>
        <w:t xml:space="preserve"> </w:t>
      </w:r>
      <w:r>
        <w:rPr>
          <w:b/>
          <w:bCs/>
        </w:rPr>
        <w:t xml:space="preserve">pain.001</w:t>
      </w:r>
      <w:r>
        <w:t xml:space="preserve"> </w:t>
      </w:r>
      <w:r>
        <w:t xml:space="preserve">Customer Credit Transfer (SCT). Default</w:t>
      </w:r>
      <w:r>
        <w:t xml:space="preserve"> </w:t>
      </w:r>
      <w:r>
        <w:rPr>
          <w:b/>
          <w:bCs/>
        </w:rPr>
        <w:t xml:space="preserve">pain.001.001.03</w:t>
      </w:r>
      <w:r>
        <w:t xml:space="preserve"> </w:t>
      </w:r>
      <w:r>
        <w:t xml:space="preserve">for widest compatibility; optional</w:t>
      </w:r>
      <w:r>
        <w:t xml:space="preserve"> </w:t>
      </w:r>
      <w:r>
        <w:rPr>
          <w:b/>
          <w:bCs/>
        </w:rPr>
        <w:t xml:space="preserve">.001.09</w:t>
      </w:r>
      <w:r>
        <w:t xml:space="preserve"> </w:t>
      </w:r>
      <w:r>
        <w:t xml:space="preserve">where supported.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CategoryPurpose (</w:t>
      </w:r>
      <w:r>
        <w:rPr>
          <w:rStyle w:val="VerbatimChar"/>
          <w:b/>
          <w:bCs/>
        </w:rPr>
        <w:t xml:space="preserve">CtgyPurp</w:t>
      </w:r>
      <w:r>
        <w:rPr>
          <w:b/>
          <w:bCs/>
        </w:rPr>
        <w:t xml:space="preserve">)</w:t>
      </w:r>
      <w:r>
        <w:t xml:space="preserve">:</w:t>
      </w:r>
      <w:r>
        <w:t xml:space="preserve"> </w:t>
      </w:r>
      <w:r>
        <w:rPr>
          <w:rStyle w:val="VerbatimChar"/>
        </w:rPr>
        <w:t xml:space="preserve">SALA</w:t>
      </w:r>
      <w:r>
        <w:t xml:space="preserve"> </w:t>
      </w:r>
      <w:r>
        <w:t xml:space="preserve">(salary).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Encoding:</w:t>
      </w:r>
      <w:r>
        <w:t xml:space="preserve"> </w:t>
      </w:r>
      <w:r>
        <w:t xml:space="preserve">UTF‑8.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Currency:</w:t>
      </w:r>
      <w:r>
        <w:t xml:space="preserve"> </w:t>
      </w:r>
      <w:r>
        <w:t xml:space="preserve">EUR only.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IBAN/BIC:</w:t>
      </w:r>
      <w:r>
        <w:t xml:space="preserve"> </w:t>
      </w:r>
      <w:r>
        <w:t xml:space="preserve">IBAN mandatory; BIC optional (domestic SCT).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Remittance (</w:t>
      </w:r>
      <w:r>
        <w:rPr>
          <w:rStyle w:val="VerbatimChar"/>
          <w:b/>
          <w:bCs/>
        </w:rPr>
        <w:t xml:space="preserve">Ustrd</w:t>
      </w:r>
      <w:r>
        <w:rPr>
          <w:b/>
          <w:bCs/>
        </w:rPr>
        <w:t xml:space="preserve">)</w:t>
      </w:r>
      <w:r>
        <w:t xml:space="preserve">: up to</w:t>
      </w:r>
      <w:r>
        <w:t xml:space="preserve"> </w:t>
      </w:r>
      <w:r>
        <w:rPr>
          <w:b/>
          <w:bCs/>
        </w:rPr>
        <w:t xml:space="preserve">140 chars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Booking:</w:t>
      </w:r>
      <w:r>
        <w:t xml:space="preserve"> </w:t>
      </w:r>
      <w:r>
        <w:t xml:space="preserve">separate debits per employee (batch booking flag off) unless bank explicitly supports batch.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Cut‑offs:</w:t>
      </w:r>
      <w:r>
        <w:t xml:space="preserve"> </w:t>
      </w:r>
      <w:r>
        <w:t xml:space="preserve">same‑day typically by early afternoon; engine enforces per‑bank cut‑offs per profile.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Reconciliation:</w:t>
      </w:r>
      <w:r>
        <w:t xml:space="preserve"> </w:t>
      </w:r>
      <w:r>
        <w:t xml:space="preserve">ingest</w:t>
      </w:r>
      <w:r>
        <w:t xml:space="preserve"> </w:t>
      </w:r>
      <w:r>
        <w:rPr>
          <w:b/>
          <w:bCs/>
        </w:rPr>
        <w:t xml:space="preserve">pain.002</w:t>
      </w:r>
      <w:r>
        <w:t xml:space="preserve"> </w:t>
      </w:r>
      <w:r>
        <w:t xml:space="preserve">status and</w:t>
      </w:r>
      <w:r>
        <w:t xml:space="preserve"> </w:t>
      </w:r>
      <w:r>
        <w:rPr>
          <w:b/>
          <w:bCs/>
        </w:rPr>
        <w:t xml:space="preserve">camt.054</w:t>
      </w:r>
      <w:r>
        <w:t xml:space="preserve"> </w:t>
      </w:r>
      <w:r>
        <w:t xml:space="preserve">credit notifications where available.</w:t>
      </w:r>
    </w:p>
    <w:bookmarkStart w:id="50" w:name="bank-profiles-greece"/>
    <w:p>
      <w:pPr>
        <w:pStyle w:val="Heading3"/>
      </w:pPr>
      <w:r>
        <w:t xml:space="preserve">Bank profiles (Greece)</w:t>
      </w:r>
    </w:p>
    <w:p>
      <w:pPr>
        <w:pStyle w:val="FirstParagraph"/>
      </w:pPr>
      <w:r>
        <w:rPr>
          <w:b/>
          <w:bCs/>
        </w:rPr>
        <w:t xml:space="preserve">Alpha Bank</w:t>
      </w:r>
      <w:r>
        <w:br/>
      </w:r>
      <w:r>
        <w:t xml:space="preserve">- Supports</w:t>
      </w:r>
      <w:r>
        <w:t xml:space="preserve"> </w:t>
      </w:r>
      <w:r>
        <w:rPr>
          <w:b/>
          <w:bCs/>
        </w:rPr>
        <w:t xml:space="preserve">pain.001.001.03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pain.001.001.09</w:t>
      </w:r>
      <w:r>
        <w:t xml:space="preserve">; status via</w:t>
      </w:r>
      <w:r>
        <w:t xml:space="preserve"> </w:t>
      </w:r>
      <w:r>
        <w:rPr>
          <w:b/>
          <w:bCs/>
        </w:rPr>
        <w:t xml:space="preserve">pain.002.001.03/.10</w:t>
      </w:r>
      <w:r>
        <w:t xml:space="preserve">; reconciliation via</w:t>
      </w:r>
      <w:r>
        <w:t xml:space="preserve"> </w:t>
      </w:r>
      <w:r>
        <w:rPr>
          <w:b/>
          <w:bCs/>
        </w:rPr>
        <w:t xml:space="preserve">camt.054</w:t>
      </w:r>
      <w:r>
        <w:t xml:space="preserve">.</w:t>
      </w:r>
      <w:r>
        <w:br/>
      </w:r>
      <w:r>
        <w:t xml:space="preserve">- Notes: IBAN only;</w:t>
      </w:r>
      <w:r>
        <w:t xml:space="preserve"> </w:t>
      </w:r>
      <w:r>
        <w:rPr>
          <w:b/>
          <w:bCs/>
        </w:rPr>
        <w:t xml:space="preserve">separate debit entries</w:t>
      </w:r>
      <w:r>
        <w:t xml:space="preserve">; remittance info up to</w:t>
      </w:r>
      <w:r>
        <w:t xml:space="preserve"> </w:t>
      </w:r>
      <w:r>
        <w:rPr>
          <w:b/>
          <w:bCs/>
        </w:rPr>
        <w:t xml:space="preserve">140 chars</w:t>
      </w:r>
      <w:r>
        <w:t xml:space="preserve">.</w:t>
      </w:r>
      <w:r>
        <w:br/>
      </w:r>
      <w:r>
        <w:t xml:space="preserve">- Profile key:</w:t>
      </w:r>
      <w:r>
        <w:t xml:space="preserve"> </w:t>
      </w:r>
      <w:r>
        <w:rPr>
          <w:rStyle w:val="VerbatimChar"/>
        </w:rPr>
        <w:t xml:space="preserve">bank_profile = "alpha"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Piraeus Bank</w:t>
      </w:r>
      <w:r>
        <w:br/>
      </w:r>
      <w:r>
        <w:t xml:space="preserve">- Supports</w:t>
      </w:r>
      <w:r>
        <w:t xml:space="preserve"> </w:t>
      </w:r>
      <w:r>
        <w:rPr>
          <w:b/>
          <w:bCs/>
        </w:rPr>
        <w:t xml:space="preserve">pain.001.001.03</w:t>
      </w:r>
      <w:r>
        <w:t xml:space="preserve"> </w:t>
      </w:r>
      <w:r>
        <w:t xml:space="preserve">and status</w:t>
      </w:r>
      <w:r>
        <w:t xml:space="preserve"> </w:t>
      </w:r>
      <w:r>
        <w:rPr>
          <w:b/>
          <w:bCs/>
        </w:rPr>
        <w:t xml:space="preserve">pain.002.001.03</w:t>
      </w:r>
      <w:r>
        <w:t xml:space="preserve"> </w:t>
      </w:r>
      <w:r>
        <w:t xml:space="preserve">(e‑PPS Mass Payments).</w:t>
      </w:r>
      <w:r>
        <w:br/>
      </w:r>
      <w:r>
        <w:t xml:space="preserve">- Optional host‑to‑host with encryption; sample schemas available.</w:t>
      </w:r>
      <w:r>
        <w:br/>
      </w:r>
      <w:r>
        <w:t xml:space="preserve">- Profile key:</w:t>
      </w:r>
      <w:r>
        <w:t xml:space="preserve"> </w:t>
      </w:r>
      <w:r>
        <w:rPr>
          <w:rStyle w:val="VerbatimChar"/>
        </w:rPr>
        <w:t xml:space="preserve">bank_profile = "piraeus"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Eurobank (Greece)</w:t>
      </w:r>
      <w:r>
        <w:br/>
      </w:r>
      <w:r>
        <w:t xml:space="preserve">- Corporate XML guide supports</w:t>
      </w:r>
      <w:r>
        <w:t xml:space="preserve"> </w:t>
      </w:r>
      <w:r>
        <w:rPr>
          <w:b/>
          <w:bCs/>
        </w:rPr>
        <w:t xml:space="preserve">pain.001.001.03</w:t>
      </w:r>
      <w:r>
        <w:t xml:space="preserve"> </w:t>
      </w:r>
      <w:r>
        <w:t xml:space="preserve">for</w:t>
      </w:r>
      <w:r>
        <w:t xml:space="preserve"> </w:t>
      </w:r>
      <w:r>
        <w:rPr>
          <w:b/>
          <w:bCs/>
        </w:rPr>
        <w:t xml:space="preserve">payroll</w:t>
      </w:r>
      <w:r>
        <w:t xml:space="preserve"> </w:t>
      </w:r>
      <w:r>
        <w:t xml:space="preserve">and bulk SCT; status via</w:t>
      </w:r>
      <w:r>
        <w:t xml:space="preserve"> </w:t>
      </w:r>
      <w:r>
        <w:rPr>
          <w:b/>
          <w:bCs/>
        </w:rPr>
        <w:t xml:space="preserve">pain.002.001.03</w:t>
      </w:r>
      <w:r>
        <w:t xml:space="preserve">.</w:t>
      </w:r>
      <w:r>
        <w:br/>
      </w:r>
      <w:r>
        <w:t xml:space="preserve">- Profile key:</w:t>
      </w:r>
      <w:r>
        <w:t xml:space="preserve"> </w:t>
      </w:r>
      <w:r>
        <w:rPr>
          <w:rStyle w:val="VerbatimChar"/>
        </w:rPr>
        <w:t xml:space="preserve">bank_profile = "eurobank"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National Bank of Greece (NBG)</w:t>
      </w:r>
      <w:r>
        <w:br/>
      </w:r>
      <w:r>
        <w:t xml:space="preserve">- Bulk file management over ISO 20022; supports</w:t>
      </w:r>
      <w:r>
        <w:t xml:space="preserve"> </w:t>
      </w:r>
      <w:r>
        <w:rPr>
          <w:b/>
          <w:bCs/>
        </w:rPr>
        <w:t xml:space="preserve">SEPA Instant (SCT Inst)</w:t>
      </w:r>
      <w:r>
        <w:t xml:space="preserve"> </w:t>
      </w:r>
      <w:r>
        <w:t xml:space="preserve">for off‑cycle runs (recommended for urgent corrections).</w:t>
      </w:r>
      <w:r>
        <w:br/>
      </w:r>
      <w:r>
        <w:t xml:space="preserve">- Profile key:</w:t>
      </w:r>
      <w:r>
        <w:t xml:space="preserve"> </w:t>
      </w:r>
      <w:r>
        <w:rPr>
          <w:rStyle w:val="VerbatimChar"/>
        </w:rPr>
        <w:t xml:space="preserve">bank_profile = "nbg"</w:t>
      </w:r>
      <w:r>
        <w:t xml:space="preserve">.</w:t>
      </w:r>
    </w:p>
    <w:bookmarkEnd w:id="50"/>
    <w:bookmarkStart w:id="51" w:name="example-pain.001-condensed"/>
    <w:p>
      <w:pPr>
        <w:pStyle w:val="Heading3"/>
      </w:pPr>
      <w:r>
        <w:t xml:space="preserve">Example</w:t>
      </w:r>
      <w:r>
        <w:t xml:space="preserve"> </w:t>
      </w:r>
      <w:r>
        <w:rPr>
          <w:rStyle w:val="VerbatimChar"/>
        </w:rPr>
        <w:t xml:space="preserve">pain.001</w:t>
      </w:r>
      <w:r>
        <w:t xml:space="preserve"> </w:t>
      </w:r>
      <w:r>
        <w:t xml:space="preserve">(condensed)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CstmrCdtTrfInitn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GrpHdr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MsgId</w:t>
      </w:r>
      <w:r>
        <w:rPr>
          <w:rStyle w:val="NormalTok"/>
        </w:rPr>
        <w:t xml:space="preserve">&gt;PAYROLL-2025-08-31-PRINCESS&lt;/</w:t>
      </w:r>
      <w:r>
        <w:rPr>
          <w:rStyle w:val="KeywordTok"/>
        </w:rPr>
        <w:t xml:space="preserve">MsgId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CreDtTm</w:t>
      </w:r>
      <w:r>
        <w:rPr>
          <w:rStyle w:val="NormalTok"/>
        </w:rPr>
        <w:t xml:space="preserve">&gt;2025-08-31T09:30:00&lt;/</w:t>
      </w:r>
      <w:r>
        <w:rPr>
          <w:rStyle w:val="KeywordTok"/>
        </w:rPr>
        <w:t xml:space="preserve">CreDtTm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NbOfTxs</w:t>
      </w:r>
      <w:r>
        <w:rPr>
          <w:rStyle w:val="NormalTok"/>
        </w:rPr>
        <w:t xml:space="preserve">&gt;3&lt;/</w:t>
      </w:r>
      <w:r>
        <w:rPr>
          <w:rStyle w:val="KeywordTok"/>
        </w:rPr>
        <w:t xml:space="preserve">NbOfTxs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CtrlSum</w:t>
      </w:r>
      <w:r>
        <w:rPr>
          <w:rStyle w:val="NormalTok"/>
        </w:rPr>
        <w:t xml:space="preserve">&gt;4321.00&lt;/</w:t>
      </w:r>
      <w:r>
        <w:rPr>
          <w:rStyle w:val="KeywordTok"/>
        </w:rPr>
        <w:t xml:space="preserve">CtrlSum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InitgPty</w:t>
      </w:r>
      <w:r>
        <w:rPr>
          <w:rStyle w:val="NormalTok"/>
        </w:rPr>
        <w:t xml:space="preserve">&gt;&lt;</w:t>
      </w:r>
      <w:r>
        <w:rPr>
          <w:rStyle w:val="KeywordTok"/>
        </w:rPr>
        <w:t xml:space="preserve">Nm</w:t>
      </w:r>
      <w:r>
        <w:rPr>
          <w:rStyle w:val="NormalTok"/>
        </w:rPr>
        <w:t xml:space="preserve">&gt;Santikos Collection SA&lt;/</w:t>
      </w:r>
      <w:r>
        <w:rPr>
          <w:rStyle w:val="KeywordTok"/>
        </w:rPr>
        <w:t xml:space="preserve">Nm</w:t>
      </w:r>
      <w:r>
        <w:rPr>
          <w:rStyle w:val="NormalTok"/>
        </w:rPr>
        <w:t xml:space="preserve">&gt;&lt;/</w:t>
      </w:r>
      <w:r>
        <w:rPr>
          <w:rStyle w:val="KeywordTok"/>
        </w:rPr>
        <w:t xml:space="preserve">InitgPty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&lt;/</w:t>
      </w:r>
      <w:r>
        <w:rPr>
          <w:rStyle w:val="KeywordTok"/>
        </w:rPr>
        <w:t xml:space="preserve">GrpHdr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PmtInf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PmtInfId</w:t>
      </w:r>
      <w:r>
        <w:rPr>
          <w:rStyle w:val="NormalTok"/>
        </w:rPr>
        <w:t xml:space="preserve">&gt;RUN-2025-08-PRINCESS&lt;/</w:t>
      </w:r>
      <w:r>
        <w:rPr>
          <w:rStyle w:val="KeywordTok"/>
        </w:rPr>
        <w:t xml:space="preserve">PmtInfId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PmtMtd</w:t>
      </w:r>
      <w:r>
        <w:rPr>
          <w:rStyle w:val="NormalTok"/>
        </w:rPr>
        <w:t xml:space="preserve">&gt;TRF&lt;/</w:t>
      </w:r>
      <w:r>
        <w:rPr>
          <w:rStyle w:val="KeywordTok"/>
        </w:rPr>
        <w:t xml:space="preserve">PmtMtd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BtchBookg</w:t>
      </w:r>
      <w:r>
        <w:rPr>
          <w:rStyle w:val="NormalTok"/>
        </w:rPr>
        <w:t xml:space="preserve">&gt;false&lt;/</w:t>
      </w:r>
      <w:r>
        <w:rPr>
          <w:rStyle w:val="KeywordTok"/>
        </w:rPr>
        <w:t xml:space="preserve">BtchBookg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ReqdExctnDt</w:t>
      </w:r>
      <w:r>
        <w:rPr>
          <w:rStyle w:val="NormalTok"/>
        </w:rPr>
        <w:t xml:space="preserve">&gt;2025-08-31&lt;/</w:t>
      </w:r>
      <w:r>
        <w:rPr>
          <w:rStyle w:val="KeywordTok"/>
        </w:rPr>
        <w:t xml:space="preserve">ReqdExctnDt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Dbtr</w:t>
      </w:r>
      <w:r>
        <w:rPr>
          <w:rStyle w:val="NormalTok"/>
        </w:rPr>
        <w:t xml:space="preserve">&gt;&lt;</w:t>
      </w:r>
      <w:r>
        <w:rPr>
          <w:rStyle w:val="KeywordTok"/>
        </w:rPr>
        <w:t xml:space="preserve">Nm</w:t>
      </w:r>
      <w:r>
        <w:rPr>
          <w:rStyle w:val="NormalTok"/>
        </w:rPr>
        <w:t xml:space="preserve">&gt;Santikos Collection SA&lt;/</w:t>
      </w:r>
      <w:r>
        <w:rPr>
          <w:rStyle w:val="KeywordTok"/>
        </w:rPr>
        <w:t xml:space="preserve">Nm</w:t>
      </w:r>
      <w:r>
        <w:rPr>
          <w:rStyle w:val="NormalTok"/>
        </w:rPr>
        <w:t xml:space="preserve">&gt;&lt;/</w:t>
      </w:r>
      <w:r>
        <w:rPr>
          <w:rStyle w:val="KeywordTok"/>
        </w:rPr>
        <w:t xml:space="preserve">Dbtr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DbtrAcct</w:t>
      </w:r>
      <w:r>
        <w:rPr>
          <w:rStyle w:val="NormalTok"/>
        </w:rPr>
        <w:t xml:space="preserve">&gt;&lt;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&gt;&lt;</w:t>
      </w:r>
      <w:r>
        <w:rPr>
          <w:rStyle w:val="KeywordTok"/>
        </w:rPr>
        <w:t xml:space="preserve">IBAN</w:t>
      </w:r>
      <w:r>
        <w:rPr>
          <w:rStyle w:val="NormalTok"/>
        </w:rPr>
        <w:t xml:space="preserve">&gt;GR12XXXX...&lt;/</w:t>
      </w:r>
      <w:r>
        <w:rPr>
          <w:rStyle w:val="KeywordTok"/>
        </w:rPr>
        <w:t xml:space="preserve">IBAN</w:t>
      </w:r>
      <w:r>
        <w:rPr>
          <w:rStyle w:val="NormalTok"/>
        </w:rPr>
        <w:t xml:space="preserve">&gt;&lt;/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&gt;&lt;/</w:t>
      </w:r>
      <w:r>
        <w:rPr>
          <w:rStyle w:val="KeywordTok"/>
        </w:rPr>
        <w:t xml:space="preserve">DbtrAcct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DbtrAgt</w:t>
      </w:r>
      <w:r>
        <w:rPr>
          <w:rStyle w:val="NormalTok"/>
        </w:rPr>
        <w:t xml:space="preserve">&gt;&lt;</w:t>
      </w:r>
      <w:r>
        <w:rPr>
          <w:rStyle w:val="KeywordTok"/>
        </w:rPr>
        <w:t xml:space="preserve">FinInstnId</w:t>
      </w:r>
      <w:r>
        <w:rPr>
          <w:rStyle w:val="NormalTok"/>
        </w:rPr>
        <w:t xml:space="preserve">&gt;&lt;</w:t>
      </w:r>
      <w:r>
        <w:rPr>
          <w:rStyle w:val="KeywordTok"/>
        </w:rPr>
        <w:t xml:space="preserve">BIC</w:t>
      </w:r>
      <w:r>
        <w:rPr>
          <w:rStyle w:val="NormalTok"/>
        </w:rPr>
        <w:t xml:space="preserve">&gt;ABCDEFGHXXX&lt;/</w:t>
      </w:r>
      <w:r>
        <w:rPr>
          <w:rStyle w:val="KeywordTok"/>
        </w:rPr>
        <w:t xml:space="preserve">BIC</w:t>
      </w:r>
      <w:r>
        <w:rPr>
          <w:rStyle w:val="NormalTok"/>
        </w:rPr>
        <w:t xml:space="preserve">&gt;&lt;/</w:t>
      </w:r>
      <w:r>
        <w:rPr>
          <w:rStyle w:val="KeywordTok"/>
        </w:rPr>
        <w:t xml:space="preserve">FinInstnId</w:t>
      </w:r>
      <w:r>
        <w:rPr>
          <w:rStyle w:val="NormalTok"/>
        </w:rPr>
        <w:t xml:space="preserve">&gt;&lt;/</w:t>
      </w:r>
      <w:r>
        <w:rPr>
          <w:rStyle w:val="KeywordTok"/>
        </w:rPr>
        <w:t xml:space="preserve">DbtrAgt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CtgyPurp</w:t>
      </w:r>
      <w:r>
        <w:rPr>
          <w:rStyle w:val="NormalTok"/>
        </w:rPr>
        <w:t xml:space="preserve">&gt;&lt;</w:t>
      </w:r>
      <w:r>
        <w:rPr>
          <w:rStyle w:val="KeywordTok"/>
        </w:rPr>
        <w:t xml:space="preserve">Cd</w:t>
      </w:r>
      <w:r>
        <w:rPr>
          <w:rStyle w:val="NormalTok"/>
        </w:rPr>
        <w:t xml:space="preserve">&gt;SALA&lt;/</w:t>
      </w:r>
      <w:r>
        <w:rPr>
          <w:rStyle w:val="KeywordTok"/>
        </w:rPr>
        <w:t xml:space="preserve">Cd</w:t>
      </w:r>
      <w:r>
        <w:rPr>
          <w:rStyle w:val="NormalTok"/>
        </w:rPr>
        <w:t xml:space="preserve">&gt;&lt;/</w:t>
      </w:r>
      <w:r>
        <w:rPr>
          <w:rStyle w:val="KeywordTok"/>
        </w:rPr>
        <w:t xml:space="preserve">CtgyPurp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CdtTrfTxInf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&lt;</w:t>
      </w:r>
      <w:r>
        <w:rPr>
          <w:rStyle w:val="KeywordTok"/>
        </w:rPr>
        <w:t xml:space="preserve">PmtId</w:t>
      </w:r>
      <w:r>
        <w:rPr>
          <w:rStyle w:val="NormalTok"/>
        </w:rPr>
        <w:t xml:space="preserve">&gt;&lt;</w:t>
      </w:r>
      <w:r>
        <w:rPr>
          <w:rStyle w:val="KeywordTok"/>
        </w:rPr>
        <w:t xml:space="preserve">EndToEndId</w:t>
      </w:r>
      <w:r>
        <w:rPr>
          <w:rStyle w:val="NormalTok"/>
        </w:rPr>
        <w:t xml:space="preserve">&gt;PRINCESS-000123&lt;/</w:t>
      </w:r>
      <w:r>
        <w:rPr>
          <w:rStyle w:val="KeywordTok"/>
        </w:rPr>
        <w:t xml:space="preserve">EndToEndId</w:t>
      </w:r>
      <w:r>
        <w:rPr>
          <w:rStyle w:val="NormalTok"/>
        </w:rPr>
        <w:t xml:space="preserve">&gt;&lt;/</w:t>
      </w:r>
      <w:r>
        <w:rPr>
          <w:rStyle w:val="KeywordTok"/>
        </w:rPr>
        <w:t xml:space="preserve">PmtId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&lt;</w:t>
      </w:r>
      <w:r>
        <w:rPr>
          <w:rStyle w:val="KeywordTok"/>
        </w:rPr>
        <w:t xml:space="preserve">Amt</w:t>
      </w:r>
      <w:r>
        <w:rPr>
          <w:rStyle w:val="NormalTok"/>
        </w:rPr>
        <w:t xml:space="preserve">&gt;&lt;</w:t>
      </w:r>
      <w:r>
        <w:rPr>
          <w:rStyle w:val="KeywordTok"/>
        </w:rPr>
        <w:t xml:space="preserve">InstdAmt</w:t>
      </w:r>
      <w:r>
        <w:rPr>
          <w:rStyle w:val="OtherTok"/>
        </w:rPr>
        <w:t xml:space="preserve"> Ccy=</w:t>
      </w:r>
      <w:r>
        <w:rPr>
          <w:rStyle w:val="StringTok"/>
        </w:rPr>
        <w:t xml:space="preserve">"EUR"</w:t>
      </w:r>
      <w:r>
        <w:rPr>
          <w:rStyle w:val="NormalTok"/>
        </w:rPr>
        <w:t xml:space="preserve">&gt;1432.00&lt;/</w:t>
      </w:r>
      <w:r>
        <w:rPr>
          <w:rStyle w:val="KeywordTok"/>
        </w:rPr>
        <w:t xml:space="preserve">InstdAmt</w:t>
      </w:r>
      <w:r>
        <w:rPr>
          <w:rStyle w:val="NormalTok"/>
        </w:rPr>
        <w:t xml:space="preserve">&gt;&lt;/</w:t>
      </w:r>
      <w:r>
        <w:rPr>
          <w:rStyle w:val="KeywordTok"/>
        </w:rPr>
        <w:t xml:space="preserve">Amt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&lt;</w:t>
      </w:r>
      <w:r>
        <w:rPr>
          <w:rStyle w:val="KeywordTok"/>
        </w:rPr>
        <w:t xml:space="preserve">CdtrAgt</w:t>
      </w:r>
      <w:r>
        <w:rPr>
          <w:rStyle w:val="NormalTok"/>
        </w:rPr>
        <w:t xml:space="preserve">&gt;&lt;</w:t>
      </w:r>
      <w:r>
        <w:rPr>
          <w:rStyle w:val="KeywordTok"/>
        </w:rPr>
        <w:t xml:space="preserve">FinInstnId</w:t>
      </w:r>
      <w:r>
        <w:rPr>
          <w:rStyle w:val="NormalTok"/>
        </w:rPr>
        <w:t xml:space="preserve">&gt;&lt;</w:t>
      </w:r>
      <w:r>
        <w:rPr>
          <w:rStyle w:val="KeywordTok"/>
        </w:rPr>
        <w:t xml:space="preserve">BIC</w:t>
      </w:r>
      <w:r>
        <w:rPr>
          <w:rStyle w:val="NormalTok"/>
        </w:rPr>
        <w:t xml:space="preserve">&gt;HGFEDCBAXXX&lt;/</w:t>
      </w:r>
      <w:r>
        <w:rPr>
          <w:rStyle w:val="KeywordTok"/>
        </w:rPr>
        <w:t xml:space="preserve">BIC</w:t>
      </w:r>
      <w:r>
        <w:rPr>
          <w:rStyle w:val="NormalTok"/>
        </w:rPr>
        <w:t xml:space="preserve">&gt;&lt;/</w:t>
      </w:r>
      <w:r>
        <w:rPr>
          <w:rStyle w:val="KeywordTok"/>
        </w:rPr>
        <w:t xml:space="preserve">FinInstnId</w:t>
      </w:r>
      <w:r>
        <w:rPr>
          <w:rStyle w:val="NormalTok"/>
        </w:rPr>
        <w:t xml:space="preserve">&gt;&lt;/</w:t>
      </w:r>
      <w:r>
        <w:rPr>
          <w:rStyle w:val="KeywordTok"/>
        </w:rPr>
        <w:t xml:space="preserve">CdtrAgt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&lt;</w:t>
      </w:r>
      <w:r>
        <w:rPr>
          <w:rStyle w:val="KeywordTok"/>
        </w:rPr>
        <w:t xml:space="preserve">Cdtr</w:t>
      </w:r>
      <w:r>
        <w:rPr>
          <w:rStyle w:val="NormalTok"/>
        </w:rPr>
        <w:t xml:space="preserve">&gt;&lt;</w:t>
      </w:r>
      <w:r>
        <w:rPr>
          <w:rStyle w:val="KeywordTok"/>
        </w:rPr>
        <w:t xml:space="preserve">Nm</w:t>
      </w:r>
      <w:r>
        <w:rPr>
          <w:rStyle w:val="NormalTok"/>
        </w:rPr>
        <w:t xml:space="preserve">&gt;Maria Papadopoulou&lt;/</w:t>
      </w:r>
      <w:r>
        <w:rPr>
          <w:rStyle w:val="KeywordTok"/>
        </w:rPr>
        <w:t xml:space="preserve">Nm</w:t>
      </w:r>
      <w:r>
        <w:rPr>
          <w:rStyle w:val="NormalTok"/>
        </w:rPr>
        <w:t xml:space="preserve">&gt;&lt;/</w:t>
      </w:r>
      <w:r>
        <w:rPr>
          <w:rStyle w:val="KeywordTok"/>
        </w:rPr>
        <w:t xml:space="preserve">Cdtr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&lt;</w:t>
      </w:r>
      <w:r>
        <w:rPr>
          <w:rStyle w:val="KeywordTok"/>
        </w:rPr>
        <w:t xml:space="preserve">CdtrAcct</w:t>
      </w:r>
      <w:r>
        <w:rPr>
          <w:rStyle w:val="NormalTok"/>
        </w:rPr>
        <w:t xml:space="preserve">&gt;&lt;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&gt;&lt;</w:t>
      </w:r>
      <w:r>
        <w:rPr>
          <w:rStyle w:val="KeywordTok"/>
        </w:rPr>
        <w:t xml:space="preserve">IBAN</w:t>
      </w:r>
      <w:r>
        <w:rPr>
          <w:rStyle w:val="NormalTok"/>
        </w:rPr>
        <w:t xml:space="preserve">&gt;GR98YYYY...&lt;/</w:t>
      </w:r>
      <w:r>
        <w:rPr>
          <w:rStyle w:val="KeywordTok"/>
        </w:rPr>
        <w:t xml:space="preserve">IBAN</w:t>
      </w:r>
      <w:r>
        <w:rPr>
          <w:rStyle w:val="NormalTok"/>
        </w:rPr>
        <w:t xml:space="preserve">&gt;&lt;/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&gt;&lt;/</w:t>
      </w:r>
      <w:r>
        <w:rPr>
          <w:rStyle w:val="KeywordTok"/>
        </w:rPr>
        <w:t xml:space="preserve">CdtrAcct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&lt;</w:t>
      </w:r>
      <w:r>
        <w:rPr>
          <w:rStyle w:val="KeywordTok"/>
        </w:rPr>
        <w:t xml:space="preserve">RmtInf</w:t>
      </w:r>
      <w:r>
        <w:rPr>
          <w:rStyle w:val="NormalTok"/>
        </w:rPr>
        <w:t xml:space="preserve">&gt;&lt;</w:t>
      </w:r>
      <w:r>
        <w:rPr>
          <w:rStyle w:val="KeywordTok"/>
        </w:rPr>
        <w:t xml:space="preserve">Ustrd</w:t>
      </w:r>
      <w:r>
        <w:rPr>
          <w:rStyle w:val="NormalTok"/>
        </w:rPr>
        <w:t xml:space="preserve">&gt;Payroll Aug 2025 – PRINCESS&lt;/</w:t>
      </w:r>
      <w:r>
        <w:rPr>
          <w:rStyle w:val="KeywordTok"/>
        </w:rPr>
        <w:t xml:space="preserve">Ustrd</w:t>
      </w:r>
      <w:r>
        <w:rPr>
          <w:rStyle w:val="NormalTok"/>
        </w:rPr>
        <w:t xml:space="preserve">&gt;&lt;/</w:t>
      </w:r>
      <w:r>
        <w:rPr>
          <w:rStyle w:val="KeywordTok"/>
        </w:rPr>
        <w:t xml:space="preserve">RmtInf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CdtTrfTxInf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more employees --&gt;</w:t>
      </w:r>
      <w:r>
        <w:br/>
      </w:r>
      <w:r>
        <w:rPr>
          <w:rStyle w:val="NormalTok"/>
        </w:rPr>
        <w:t xml:space="preserve">  &lt;/</w:t>
      </w:r>
      <w:r>
        <w:rPr>
          <w:rStyle w:val="KeywordTok"/>
        </w:rPr>
        <w:t xml:space="preserve">PmtInf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CstmrCdtTrfInitn</w:t>
      </w:r>
      <w:r>
        <w:rPr>
          <w:rStyle w:val="NormalTok"/>
        </w:rPr>
        <w:t xml:space="preserve">&gt;</w:t>
      </w:r>
    </w:p>
    <w:bookmarkEnd w:id="51"/>
    <w:bookmarkStart w:id="52" w:name="engine-behaviour-per-bank-profile"/>
    <w:p>
      <w:pPr>
        <w:pStyle w:val="Heading3"/>
      </w:pPr>
      <w:r>
        <w:t xml:space="preserve">Engine behaviour per bank profile</w:t>
      </w:r>
    </w:p>
    <w:p>
      <w:pPr>
        <w:pStyle w:val="Compact"/>
        <w:numPr>
          <w:ilvl w:val="0"/>
          <w:numId w:val="1029"/>
        </w:numPr>
      </w:pPr>
      <w:r>
        <w:t xml:space="preserve">Validates pain.001 schema &amp; bank‑specific rules (IBAN, BIC, length limits).</w:t>
      </w:r>
    </w:p>
    <w:p>
      <w:pPr>
        <w:pStyle w:val="Compact"/>
        <w:numPr>
          <w:ilvl w:val="0"/>
          <w:numId w:val="1029"/>
        </w:numPr>
      </w:pPr>
      <w:r>
        <w:t xml:space="preserve">Enforces</w:t>
      </w:r>
      <w:r>
        <w:t xml:space="preserve"> </w:t>
      </w:r>
      <w:r>
        <w:rPr>
          <w:b/>
          <w:bCs/>
        </w:rPr>
        <w:t xml:space="preserve">cut‑off windows</w:t>
      </w:r>
      <w:r>
        <w:t xml:space="preserve"> </w:t>
      </w:r>
      <w:r>
        <w:t xml:space="preserve">and schedules</w:t>
      </w:r>
      <w:r>
        <w:t xml:space="preserve"> </w:t>
      </w:r>
      <w:r>
        <w:rPr>
          <w:rStyle w:val="VerbatimChar"/>
        </w:rPr>
        <w:t xml:space="preserve">ReqdExctnDt</w:t>
      </w:r>
      <w:r>
        <w:t xml:space="preserve"> </w:t>
      </w:r>
      <w:r>
        <w:t xml:space="preserve">accordingly.</w:t>
      </w:r>
    </w:p>
    <w:p>
      <w:pPr>
        <w:pStyle w:val="Compact"/>
        <w:numPr>
          <w:ilvl w:val="0"/>
          <w:numId w:val="1029"/>
        </w:numPr>
      </w:pPr>
      <w:r>
        <w:t xml:space="preserve">Generates</w:t>
      </w:r>
      <w:r>
        <w:t xml:space="preserve"> </w:t>
      </w:r>
      <w:r>
        <w:rPr>
          <w:b/>
          <w:bCs/>
        </w:rPr>
        <w:t xml:space="preserve">pain.002</w:t>
      </w:r>
      <w:r>
        <w:t xml:space="preserve"> </w:t>
      </w:r>
      <w:r>
        <w:t xml:space="preserve">correlation and auto‑retries on transient errors; surfaces rejects.</w:t>
      </w:r>
    </w:p>
    <w:p>
      <w:pPr>
        <w:pStyle w:val="Compact"/>
        <w:numPr>
          <w:ilvl w:val="0"/>
          <w:numId w:val="1029"/>
        </w:numPr>
      </w:pPr>
      <w:r>
        <w:t xml:space="preserve">Optional</w:t>
      </w:r>
      <w:r>
        <w:t xml:space="preserve"> </w:t>
      </w:r>
      <w:r>
        <w:rPr>
          <w:b/>
          <w:bCs/>
        </w:rPr>
        <w:t xml:space="preserve">SCT Inst</w:t>
      </w:r>
      <w:r>
        <w:t xml:space="preserve"> </w:t>
      </w:r>
      <w:r>
        <w:t xml:space="preserve">switch (where enabled) for urgent off‑cycle payments (e.g., corrections).</w:t>
      </w:r>
    </w:p>
    <w:bookmarkEnd w:id="52"/>
    <w:bookmarkStart w:id="53" w:name="payment-ops-checklist"/>
    <w:p>
      <w:pPr>
        <w:pStyle w:val="Heading3"/>
      </w:pPr>
      <w:r>
        <w:t xml:space="preserve">Payment ops checklist</w:t>
      </w:r>
    </w:p>
    <w:p>
      <w:pPr>
        <w:pStyle w:val="Compact"/>
        <w:numPr>
          <w:ilvl w:val="0"/>
          <w:numId w:val="1030"/>
        </w:numPr>
      </w:pPr>
      <w:r>
        <w:t xml:space="preserve">Select</w:t>
      </w:r>
      <w:r>
        <w:t xml:space="preserve"> </w:t>
      </w:r>
      <w:r>
        <w:rPr>
          <w:b/>
          <w:bCs/>
        </w:rPr>
        <w:t xml:space="preserve">bank profile</w:t>
      </w:r>
      <w:r>
        <w:t xml:space="preserve"> </w:t>
      </w:r>
      <w:r>
        <w:t xml:space="preserve">per entity and debtor IBAN.</w:t>
      </w:r>
    </w:p>
    <w:p>
      <w:pPr>
        <w:pStyle w:val="Compact"/>
        <w:numPr>
          <w:ilvl w:val="0"/>
          <w:numId w:val="1030"/>
        </w:numPr>
      </w:pPr>
      <w:r>
        <w:t xml:space="preserve">Generate</w:t>
      </w:r>
      <w:r>
        <w:t xml:space="preserve"> </w:t>
      </w:r>
      <w:r>
        <w:rPr>
          <w:rStyle w:val="VerbatimChar"/>
        </w:rPr>
        <w:t xml:space="preserve">pain.001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CtgyPurp=SALA</w:t>
      </w:r>
      <w:r>
        <w:t xml:space="preserve">,</w:t>
      </w:r>
      <w:r>
        <w:t xml:space="preserve"> </w:t>
      </w:r>
      <w:r>
        <w:rPr>
          <w:rStyle w:val="VerbatimChar"/>
        </w:rPr>
        <w:t xml:space="preserve">BtchBookg=false</w:t>
      </w:r>
      <w:r>
        <w:t xml:space="preserve">.</w:t>
      </w:r>
    </w:p>
    <w:p>
      <w:pPr>
        <w:pStyle w:val="Compact"/>
        <w:numPr>
          <w:ilvl w:val="0"/>
          <w:numId w:val="1030"/>
        </w:numPr>
      </w:pPr>
      <w:r>
        <w:t xml:space="preserve">Upload via bank channel (host‑to‑host / BIB).</w:t>
      </w:r>
    </w:p>
    <w:p>
      <w:pPr>
        <w:pStyle w:val="Compact"/>
        <w:numPr>
          <w:ilvl w:val="0"/>
          <w:numId w:val="1030"/>
        </w:numPr>
      </w:pPr>
      <w:r>
        <w:t xml:space="preserve">Poll/ingest</w:t>
      </w:r>
      <w:r>
        <w:t xml:space="preserve"> </w:t>
      </w:r>
      <w:r>
        <w:rPr>
          <w:b/>
          <w:bCs/>
        </w:rPr>
        <w:t xml:space="preserve">pain.002</w:t>
      </w:r>
      <w:r>
        <w:t xml:space="preserve">; reconcile with payroll run; download</w:t>
      </w:r>
      <w:r>
        <w:t xml:space="preserve"> </w:t>
      </w:r>
      <w:r>
        <w:rPr>
          <w:b/>
          <w:bCs/>
        </w:rPr>
        <w:t xml:space="preserve">camt.054</w:t>
      </w:r>
      <w:r>
        <w:t xml:space="preserve"> </w:t>
      </w:r>
      <w:r>
        <w:t xml:space="preserve">where available.</w:t>
      </w:r>
    </w:p>
    <w:p>
      <w:pPr>
        <w:pStyle w:val="BlockText"/>
      </w:pPr>
      <w:r>
        <w:t xml:space="preserve">These profiles ship pre‑configured and can be extended for additional banks or updated pain versions without code changes.</w:t>
      </w:r>
    </w:p>
    <w:bookmarkEnd w:id="53"/>
    <w:bookmarkEnd w:id="54"/>
    <w:bookmarkEnd w:id="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2025-08-19T07:47:25Z</dcterms:created>
  <dcterms:modified xsi:type="dcterms:W3CDTF">2025-08-19T07:47:25Z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