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Репликация</w:t>
      </w:r>
      <w:r>
        <w:t xml:space="preserve"> </w:t>
      </w:r>
      <w:r>
        <w:t xml:space="preserve">исследования:</w:t>
      </w:r>
      <w:r>
        <w:t xml:space="preserve"> </w:t>
      </w: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smile:</w:t>
      </w:r>
      <w:r>
        <w:t xml:space="preserve"> </w:t>
      </w:r>
      <w:r>
        <w:t xml:space="preserve">Stronger</w:t>
      </w:r>
      <w:r>
        <w:t xml:space="preserve"> </w:t>
      </w:r>
      <w:r>
        <w:t xml:space="preserve">working</w:t>
      </w:r>
      <w:r>
        <w:t xml:space="preserve"> </w:t>
      </w:r>
      <w:r>
        <w:t xml:space="preserve">memory</w:t>
      </w:r>
      <w:r>
        <w:t xml:space="preserve"> </w:t>
      </w:r>
      <w:r>
        <w:t xml:space="preserve">effects</w:t>
      </w:r>
      <w:r>
        <w:t xml:space="preserve"> </w:t>
      </w:r>
      <w:r>
        <w:t xml:space="preserve">for</w:t>
      </w:r>
      <w:r>
        <w:t xml:space="preserve"> </w:t>
      </w:r>
      <w:r>
        <w:t xml:space="preserve">happy</w:t>
      </w:r>
      <w:r>
        <w:t xml:space="preserve"> </w:t>
      </w:r>
      <w:r>
        <w:t xml:space="preserve">faces</w:t>
      </w:r>
      <w:r>
        <w:t xml:space="preserve"> </w:t>
      </w:r>
      <w:r>
        <w:t xml:space="preserve">in</w:t>
      </w:r>
      <w:r>
        <w:t xml:space="preserve"> </w:t>
      </w:r>
      <w:r>
        <w:t xml:space="preserve">adolescents</w:t>
      </w:r>
      <w:r>
        <w:t xml:space="preserve"> </w:t>
      </w:r>
      <w:r>
        <w:t xml:space="preserve">compared</w:t>
      </w:r>
      <w:r>
        <w:t xml:space="preserve"> </w:t>
      </w:r>
      <w:r>
        <w:t xml:space="preserve">to</w:t>
      </w:r>
      <w:r>
        <w:t xml:space="preserve"> </w:t>
      </w:r>
      <w:r>
        <w:t xml:space="preserve">adults</w:t>
      </w:r>
      <w:r>
        <w:t xml:space="preserve"> </w:t>
      </w:r>
      <w:r>
        <w:t xml:space="preserve">by</w:t>
      </w:r>
      <w:r>
        <w:t xml:space="preserve"> </w:t>
      </w:r>
      <w:r>
        <w:t xml:space="preserve">Sofie</w:t>
      </w:r>
      <w:r>
        <w:t xml:space="preserve"> </w:t>
      </w:r>
      <w:r>
        <w:t xml:space="preserve">Cromheeke</w:t>
      </w:r>
      <w:r>
        <w:t xml:space="preserve"> </w:t>
      </w:r>
      <w:r>
        <w:t xml:space="preserve">&amp;</w:t>
      </w:r>
      <w:r>
        <w:t xml:space="preserve"> </w:t>
      </w:r>
      <w:r>
        <w:t xml:space="preserve">Sven</w:t>
      </w:r>
      <w:r>
        <w:t xml:space="preserve"> </w:t>
      </w:r>
      <w:r>
        <w:t xml:space="preserve">C.</w:t>
      </w:r>
      <w:r>
        <w:t xml:space="preserve"> </w:t>
      </w:r>
      <w:r>
        <w:t xml:space="preserve">Mueller</w:t>
      </w:r>
      <w:r>
        <w:t xml:space="preserve"> </w:t>
      </w:r>
      <w:r>
        <w:t xml:space="preserve">(2015,</w:t>
      </w:r>
      <w:r>
        <w:t xml:space="preserve"> </w:t>
      </w:r>
      <w:r>
        <w:t xml:space="preserve">Cognition</w:t>
      </w:r>
      <w:r>
        <w:t xml:space="preserve"> </w:t>
      </w:r>
      <w:r>
        <w:t xml:space="preserve">and</w:t>
      </w:r>
      <w:r>
        <w:t xml:space="preserve"> </w:t>
      </w:r>
      <w:r>
        <w:t xml:space="preserve">Emotion)</w:t>
      </w:r>
    </w:p>
    <w:p>
      <w:pPr>
        <w:pStyle w:val="Author"/>
      </w:pPr>
      <w:r>
        <w:t xml:space="preserve">Suchkova,</w:t>
      </w:r>
      <w:r>
        <w:t xml:space="preserve"> </w:t>
      </w:r>
      <w:r>
        <w:t xml:space="preserve">Yudina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12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Репликация Сучковой Е. и Юдиной Е.</w:t>
      </w:r>
      <w:r>
        <w:t xml:space="preserve"> </w:t>
      </w:r>
      <w:hyperlink r:id="rId21">
        <w:r>
          <w:rPr>
            <w:rStyle w:val="Hyperlink"/>
          </w:rPr>
          <w:t xml:space="preserve">ekaterina.s.12358@gmail.com</w:t>
        </w:r>
      </w:hyperlink>
      <w:r>
        <w:br w:type="textWrapping"/>
      </w:r>
      <w:hyperlink r:id="rId22">
        <w:r>
          <w:rPr>
            <w:rStyle w:val="Hyperlink"/>
          </w:rPr>
          <w:t xml:space="preserve">ekaterina.i.yudina@gmail.com</w:t>
        </w:r>
      </w:hyperlink>
    </w:p>
    <w:p>
      <w:pPr>
        <w:pStyle w:val="Heading3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В оригинальном исследовании изучалось влияние релевантности эмоциональной окраски стимулов заданию на обновление эмоционально окрашенных стимулов в рабочей памяти у людей разных возрастов. Реплицируется следующий эффект: различия во времени реакции для положительных и нейтральных стимулов в задаче n-back. Авторы получили результаты, которые показывали, что на положительные стимулы взрослые испытуемые реагируют быстрее, чем на нейтральные.</w:t>
      </w:r>
    </w:p>
    <w:p>
      <w:pPr>
        <w:pStyle w:val="Heading3"/>
      </w:pPr>
      <w:bookmarkStart w:id="24" w:name="methods"/>
      <w:bookmarkEnd w:id="24"/>
      <w:r>
        <w:t xml:space="preserve">Methods</w:t>
      </w:r>
    </w:p>
    <w:p>
      <w:pPr>
        <w:pStyle w:val="Heading4"/>
      </w:pPr>
      <w:bookmarkStart w:id="25" w:name="power-analysis"/>
      <w:bookmarkEnd w:id="25"/>
      <w:r>
        <w:t xml:space="preserve">Power Analysis</w:t>
      </w:r>
    </w:p>
    <w:p>
      <w:pPr>
        <w:pStyle w:val="FirstParagraph"/>
      </w:pPr>
      <w:r>
        <w:t xml:space="preserve">В оригинальном исследовании при сравнении времени реакции на позитивно и нейтрально окрашенные стимулы, размер эффекта был равен d = 0.36. Мощность оригинального исследования была равна 18% при p&lt;.001. Для достижения мощности 80% при d = 0.36 и p=.05 было посчитано, что размер выборки должен быть равен n=43.</w:t>
      </w:r>
    </w:p>
    <w:p>
      <w:pPr>
        <w:pStyle w:val="Heading4"/>
      </w:pPr>
      <w:bookmarkStart w:id="26" w:name="planned-sample"/>
      <w:bookmarkEnd w:id="26"/>
      <w:r>
        <w:t xml:space="preserve">Planned Sample</w:t>
      </w:r>
    </w:p>
    <w:p>
      <w:pPr>
        <w:pStyle w:val="FirstParagraph"/>
      </w:pPr>
      <w:r>
        <w:t xml:space="preserve">В выборку должны были войти испытуемые старше 18 лет, не страдающие депрессией. Размер выборки должен был быть равен 43.</w:t>
      </w:r>
    </w:p>
    <w:p>
      <w:pPr>
        <w:pStyle w:val="Heading4"/>
      </w:pPr>
      <w:bookmarkStart w:id="27" w:name="materials"/>
      <w:bookmarkEnd w:id="27"/>
      <w:r>
        <w:t xml:space="preserve">Materials</w:t>
      </w:r>
    </w:p>
    <w:p>
      <w:pPr>
        <w:pStyle w:val="FirstParagraph"/>
      </w:pPr>
      <w:r>
        <w:t xml:space="preserve">Аппаратура: использовались два компьютера MacBook Air (13 дюймов, начало 2015 г.). В качестве программного обеспечения использовалась программа Psychopy v. 1.84.2. Стимульный материал: в качестве стимулов в основной сессии использовались лица из базы NimStim, в тренировочной сессии использовались лица из базы KDEF. Испытуемые: здоровые взрослые (перед экспериментом спрашивалось, страдают ли они от каких-то психических болезней); Было собрано 53 испытуемых (M=21,19; SD=3,25).</w:t>
      </w:r>
    </w:p>
    <w:p>
      <w:pPr>
        <w:pStyle w:val="Heading4"/>
      </w:pPr>
      <w:bookmarkStart w:id="28" w:name="procedure"/>
      <w:bookmarkEnd w:id="28"/>
      <w:r>
        <w:t xml:space="preserve">Procedure</w:t>
      </w:r>
    </w:p>
    <w:p>
      <w:pPr>
        <w:pStyle w:val="FirstParagraph"/>
      </w:pPr>
      <w:r>
        <w:t xml:space="preserve">В основной сессии, на экране компьютера испытуемым поочередно предъявлялись лица на 2000 мс, с интервалом в 500 мс. Использовался аффективная задача 2 шага назад. Задача испытуемого заключалась в том, чтобы сравнивать текущий стимул, со стимулом, который был предъявлен 2 шага назад, и давать ответ, совпадают ли стимулы по эмоциональной окраске. Если стимулы совпадали, испытуемый должен был нажать клавишу “1” , если стимулы не совпадали, то испытуемый должен был нажать клавишу “0” на стандартной клавиатуре. Было проведено 4 блока, по 30 проб (32 стимула) в каждом, в основном эксперименте. Блок были разделены паузами. В тренировочной сессии интервал между стимулами был больше, чтобы облегчить обучение, он составлял 2500 мс, само время предъявления стимула было таким же, как в основной. В тренировочной сессии было 2 блока по 22 пробы (24 стимула) в каждом.</w:t>
      </w:r>
    </w:p>
    <w:p>
      <w:pPr>
        <w:pStyle w:val="Heading4"/>
      </w:pPr>
      <w:bookmarkStart w:id="29" w:name="analysis-plan"/>
      <w:bookmarkEnd w:id="29"/>
      <w:r>
        <w:t xml:space="preserve">Analysis Plan</w:t>
      </w:r>
    </w:p>
    <w:p>
      <w:pPr>
        <w:pStyle w:val="FirstParagraph"/>
      </w:pPr>
      <w:r>
        <w:t xml:space="preserve">Для анализа различий во времени реакции на разные типы проб (положительные и нейтральные) должен был быть использован t-тест.</w:t>
      </w:r>
    </w:p>
    <w:p>
      <w:pPr>
        <w:pStyle w:val="Heading4"/>
      </w:pPr>
      <w:bookmarkStart w:id="30" w:name="differences-from-original-study"/>
      <w:bookmarkEnd w:id="30"/>
      <w:r>
        <w:t xml:space="preserve">Differences from Original Study</w:t>
      </w:r>
    </w:p>
    <w:p>
      <w:pPr>
        <w:pStyle w:val="FirstParagraph"/>
      </w:pPr>
      <w:r>
        <w:t xml:space="preserve">Различия между оригинальным исследованием и репликацией: 1) В оригинальном исследовании тренировочная сессия полностью повторяла основную по времени предъявления. В репликации это было изменено, так как это должно было облегчить обучение. 2) В оригинальном исследовании было 6 блоков по 30 проб, в репликации было 4 блока по 30 проб. Это связано с тем, что мы сравнивали только нейтральные и положительные стимулы, не включая отрицательные. 3) В репликации использовалась только одна база с лицами, NimStim, так как доступ к базе Radboud Faces Database получить не удалось. Поэтому в репликации лица повторяются (последовательность специально составлена так, чтобы одинаковые лица не находились рядом, и в одном блоке лицо одного и того же актера всегда имело только одно выражение). 4) Оригинальное исследование проводилось при помощи ПО Presentation.</w:t>
      </w:r>
    </w:p>
    <w:p>
      <w:pPr>
        <w:pStyle w:val="Heading4"/>
      </w:pPr>
      <w:bookmarkStart w:id="31" w:name="actual-sample"/>
      <w:bookmarkEnd w:id="31"/>
      <w:r>
        <w:t xml:space="preserve">Actual Sample</w:t>
      </w:r>
    </w:p>
    <w:p>
      <w:pPr>
        <w:pStyle w:val="FirstParagraph"/>
      </w:pPr>
      <w:r>
        <w:t xml:space="preserve">В эксперименте приняло участие 53 испытуемых, из них 19 пришлось исключить из выборки, так как их точность выполнения задачи была менее 60% в основной сессии.К эксперименту допускались только испытуемые, набравшие от 60% правильных ответов во время тренировочной сессии, поэтому еще 6 человек было исключено еще на этапе тренировочной сессии. В конечную выборку вошло 35 испытуемых (в возрасте от 18 до 23, M=20,97; SD=1,71).</w:t>
      </w:r>
    </w:p>
    <w:p>
      <w:pPr>
        <w:pStyle w:val="Heading3"/>
      </w:pPr>
      <w:bookmarkStart w:id="32" w:name="results"/>
      <w:bookmarkEnd w:id="32"/>
      <w:r>
        <w:t xml:space="preserve">Results</w:t>
      </w:r>
    </w:p>
    <w:p>
      <w:pPr>
        <w:pStyle w:val="Heading4"/>
      </w:pPr>
      <w:bookmarkStart w:id="33" w:name="data-preparation"/>
      <w:bookmarkEnd w:id="33"/>
      <w:r>
        <w:t xml:space="preserve">Data preparation</w:t>
      </w:r>
    </w:p>
    <w:p>
      <w:pPr>
        <w:pStyle w:val="FirstParagraph"/>
      </w:pPr>
      <w:r>
        <w:t xml:space="preserve">Для обработки допускались только испытуемые, которые набрали более 60% правильных ответов в основной сессии.</w:t>
      </w:r>
    </w:p>
    <w:p>
      <w:pPr>
        <w:pStyle w:val="Heading4"/>
      </w:pPr>
      <w:bookmarkStart w:id="34" w:name="confirmatory-analysis"/>
      <w:bookmarkEnd w:id="34"/>
      <w:r>
        <w:t xml:space="preserve">Confirmatory analysis</w:t>
      </w:r>
    </w:p>
    <w:p>
      <w:pPr>
        <w:pStyle w:val="FirstParagraph"/>
      </w:pPr>
      <w:r>
        <w:t xml:space="preserve">В связи с тем, что распределение времени реакции ответов испытуемых отличалось от нормального. Для обработки данных использовался тест Уилкоксона для связанных выборок как непараметрический аналог t-тест. Несмотря на то, что выборка составила 35, а не 43 испытуемых, как это было посчитано ранее, результаты репликации подтвердили результаты оригинального исследования, при сравнении ВР на положительные и нейтральные триады были получены значимые различия p&lt;.001.</w:t>
      </w:r>
    </w:p>
    <w:p>
      <w:pPr>
        <w:pStyle w:val="Heading3"/>
      </w:pPr>
      <w:bookmarkStart w:id="35" w:name="-1.------------"/>
      <w:bookmarkEnd w:id="35"/>
      <w:r>
        <w:t xml:space="preserve">График №1. Среднее време реакции и стандартная ошибка среднего для положительных и нейтральных триад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Репликация_Сучкова,_Юдина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discussion"/>
      <w:bookmarkEnd w:id="37"/>
      <w:r>
        <w:t xml:space="preserve">Discussion</w:t>
      </w:r>
    </w:p>
    <w:p>
      <w:pPr>
        <w:pStyle w:val="Heading4"/>
      </w:pPr>
      <w:bookmarkStart w:id="38" w:name="summary-of-replication-attempt"/>
      <w:bookmarkEnd w:id="38"/>
      <w:r>
        <w:t xml:space="preserve">Summary of Replication Attempt</w:t>
      </w:r>
    </w:p>
    <w:p>
      <w:pPr>
        <w:pStyle w:val="FirstParagraph"/>
      </w:pPr>
      <w:r>
        <w:t xml:space="preserve">Задача репликации (подтвердить различия во времени реакции для положительных и нейтральных стимулов в задаче 2 шага назад) выполнена.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cdf0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hyperlink" Id="rId22" Target="mailto:ekaterina.i.yudina@gmail.com" TargetMode="External" /><Relationship Type="http://schemas.openxmlformats.org/officeDocument/2006/relationships/hyperlink" Id="rId21" Target="mailto:ekaterina.s.1235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ekaterina.i.yudina@gmail.com" TargetMode="External" /><Relationship Type="http://schemas.openxmlformats.org/officeDocument/2006/relationships/hyperlink" Id="rId21" Target="mailto:ekaterina.s.1235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Репликация исследования: The power of a smile: Stronger working memory effects for happy faces in adolescents compared to adults by Sofie Cromheeke &amp; Sven C. Mueller (2015, Cognition and Emotion)</dc:title>
  <dc:creator>Suchkova, Yudina</dc:creator>
</cp:coreProperties>
</file>