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выполнению</w:t>
      </w:r>
      <w:r>
        <w:t xml:space="preserve"> </w:t>
      </w:r>
      <w:r>
        <w:t xml:space="preserve">4-ого</w:t>
      </w:r>
      <w:r>
        <w:t xml:space="preserve"> </w:t>
      </w:r>
      <w:r>
        <w:t xml:space="preserve">этапа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Верниковская</w:t>
      </w:r>
      <w:r>
        <w:t xml:space="preserve"> </w:t>
      </w:r>
      <w:r>
        <w:t xml:space="preserve">Екатерина</w:t>
      </w:r>
      <w:r>
        <w:t xml:space="preserve"> </w:t>
      </w:r>
      <w:r>
        <w:t xml:space="preserve">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Научиться тестированию веб-приложений с помощью сканера nikto.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Использовать сканер nikto</w:t>
      </w:r>
    </w:p>
    <w:bookmarkEnd w:id="21"/>
    <w:bookmarkStart w:id="39" w:name="Xee2fd403ef72462c970ad4e3eaf10db264703ad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4-ого этапа индивидуального проекта</w:t>
      </w:r>
    </w:p>
    <w:bookmarkStart w:id="37" w:name="выполнение-основных-действий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Выполнение основных действий</w:t>
      </w:r>
    </w:p>
    <w:p>
      <w:pPr>
        <w:pStyle w:val="FirstParagraph"/>
      </w:pPr>
      <w:r>
        <w:t xml:space="preserve">Чтобы работать с nikto, надо сначала подготовить веб-приложение, которое мы будем сканировать. Это будет DVWA. Запустим mysql и apache2:</w:t>
      </w:r>
      <w:r>
        <w:t xml:space="preserve"> </w:t>
      </w:r>
      <w:r>
        <w:rPr>
          <w:iCs/>
          <w:i/>
        </w:rPr>
        <w:t xml:space="preserve">sudo systemctl start mysql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sudo systemctl start apache2</w:t>
      </w:r>
      <w:r>
        <w:t xml:space="preserve"> </w:t>
      </w:r>
      <w:r>
        <w:t xml:space="preserve">(рис. 1)</w:t>
      </w:r>
    </w:p>
    <w:p>
      <w:pPr>
        <w:pStyle w:val="CaptionedFigure"/>
      </w:pPr>
      <w:r>
        <w:drawing>
          <wp:inline>
            <wp:extent cx="3419475" cy="1457325"/>
            <wp:effectExtent b="0" l="0" r="0" t="0"/>
            <wp:docPr descr="Запуск mysql и apache2" title="" id="23" name="Picture"/>
            <a:graphic>
              <a:graphicData uri="http://schemas.openxmlformats.org/drawingml/2006/picture">
                <pic:pic>
                  <pic:nvPicPr>
                    <pic:cNvPr descr="image/ИП4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mysql и apache2</w:t>
      </w:r>
    </w:p>
    <w:p>
      <w:pPr>
        <w:pStyle w:val="BodyText"/>
      </w:pPr>
      <w:r>
        <w:t xml:space="preserve">Далее введём в адресной строке браузера адрес DVWA и перейдём в режим уровня безопасности. Поставим минимальный уровень безопасности</w:t>
      </w:r>
      <w:r>
        <w:t xml:space="preserve"> </w:t>
      </w:r>
      <w:r>
        <w:t xml:space="preserve">“</w:t>
      </w:r>
      <w:r>
        <w:t xml:space="preserve">Low</w:t>
      </w:r>
      <w:r>
        <w:t xml:space="preserve">”</w:t>
      </w:r>
      <w:r>
        <w:t xml:space="preserve"> </w:t>
      </w:r>
      <w:r>
        <w:t xml:space="preserve">(рис. 2)</w:t>
      </w:r>
    </w:p>
    <w:p>
      <w:pPr>
        <w:pStyle w:val="CaptionedFigure"/>
      </w:pPr>
      <w:r>
        <w:drawing>
          <wp:inline>
            <wp:extent cx="3733800" cy="3359237"/>
            <wp:effectExtent b="0" l="0" r="0" t="0"/>
            <wp:docPr descr="Запуск DVWA" title="" id="26" name="Picture"/>
            <a:graphic>
              <a:graphicData uri="http://schemas.openxmlformats.org/drawingml/2006/picture">
                <pic:pic>
                  <pic:nvPicPr>
                    <pic:cNvPr descr="image/ИП4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59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Запуск DVWA</w:t>
      </w:r>
    </w:p>
    <w:p>
      <w:pPr>
        <w:pStyle w:val="BodyText"/>
      </w:pPr>
      <w:r>
        <w:t xml:space="preserve">Далее запустим nikto (рис. 3)</w:t>
      </w:r>
    </w:p>
    <w:p>
      <w:pPr>
        <w:pStyle w:val="CaptionedFigure"/>
      </w:pPr>
      <w:r>
        <w:drawing>
          <wp:inline>
            <wp:extent cx="3371850" cy="885825"/>
            <wp:effectExtent b="0" l="0" r="0" t="0"/>
            <wp:docPr descr="Запуск nikto" title="" id="29" name="Picture"/>
            <a:graphic>
              <a:graphicData uri="http://schemas.openxmlformats.org/drawingml/2006/picture">
                <pic:pic>
                  <pic:nvPicPr>
                    <pic:cNvPr descr="image/ИП4_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Запуск nikto</w:t>
      </w:r>
    </w:p>
    <w:p>
      <w:pPr>
        <w:pStyle w:val="BodyText"/>
      </w:pPr>
      <w:r>
        <w:t xml:space="preserve">Проверить веб-приожение можно введя его полный URL. Просканируем веб-приложение таким образом введя команду</w:t>
      </w:r>
      <w:r>
        <w:t xml:space="preserve"> </w:t>
      </w:r>
      <w:r>
        <w:rPr>
          <w:iCs/>
          <w:i/>
        </w:rPr>
        <w:t xml:space="preserve">nikto -h http://127.0.0.1/DVWA/</w:t>
      </w:r>
      <w:r>
        <w:t xml:space="preserve"> </w:t>
      </w:r>
      <w:r>
        <w:t xml:space="preserve">(рис. 4)</w:t>
      </w:r>
    </w:p>
    <w:p>
      <w:pPr>
        <w:pStyle w:val="CaptionedFigure"/>
      </w:pPr>
      <w:r>
        <w:drawing>
          <wp:inline>
            <wp:extent cx="3733800" cy="2604976"/>
            <wp:effectExtent b="0" l="0" r="0" t="0"/>
            <wp:docPr descr="Сканиование веб-приложения по полному URL" title="" id="32" name="Picture"/>
            <a:graphic>
              <a:graphicData uri="http://schemas.openxmlformats.org/drawingml/2006/picture">
                <pic:pic>
                  <pic:nvPicPr>
                    <pic:cNvPr descr="image/ИП4_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4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Сканиование веб-приложения по полному URL</w:t>
      </w:r>
    </w:p>
    <w:p>
      <w:pPr>
        <w:pStyle w:val="BodyText"/>
      </w:pPr>
      <w:r>
        <w:t xml:space="preserve">Проверить веб-приожение можно также введя адрес хоста и адрес порта. Просканируем веб-приложение таким образом введя команду</w:t>
      </w:r>
      <w:r>
        <w:t xml:space="preserve"> </w:t>
      </w:r>
      <w:r>
        <w:rPr>
          <w:iCs/>
          <w:i/>
        </w:rPr>
        <w:t xml:space="preserve">nikto -h 127.0.0.1 -p 80</w:t>
      </w:r>
      <w:r>
        <w:t xml:space="preserve"> </w:t>
      </w:r>
      <w:r>
        <w:t xml:space="preserve">(рис. 5)</w:t>
      </w:r>
    </w:p>
    <w:p>
      <w:pPr>
        <w:pStyle w:val="CaptionedFigure"/>
      </w:pPr>
      <w:r>
        <w:drawing>
          <wp:inline>
            <wp:extent cx="3733800" cy="2343471"/>
            <wp:effectExtent b="0" l="0" r="0" t="0"/>
            <wp:docPr descr="Сканиование веб-приложения по адресу хоста и адрсу порта" title="" id="35" name="Picture"/>
            <a:graphic>
              <a:graphicData uri="http://schemas.openxmlformats.org/drawingml/2006/picture">
                <pic:pic>
                  <pic:nvPicPr>
                    <pic:cNvPr descr="image/ИП4_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3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Сканиование веб-приложения по адресу хоста и адрсу порта</w:t>
      </w:r>
    </w:p>
    <w:bookmarkEnd w:id="37"/>
    <w:bookmarkStart w:id="38" w:name="анализ-результатов-сканирования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Анализ результатов сканирования</w:t>
      </w:r>
    </w:p>
    <w:p>
      <w:pPr>
        <w:numPr>
          <w:ilvl w:val="0"/>
          <w:numId w:val="1002"/>
        </w:numPr>
        <w:pStyle w:val="Compact"/>
      </w:pPr>
      <w:r>
        <w:t xml:space="preserve">Отсутствие критических HTTP-заголовков:</w:t>
      </w:r>
    </w:p>
    <w:p>
      <w:pPr>
        <w:numPr>
          <w:ilvl w:val="0"/>
          <w:numId w:val="1003"/>
        </w:numPr>
        <w:pStyle w:val="Compact"/>
      </w:pPr>
      <w:r>
        <w:t xml:space="preserve">X-Frame-Options: Отсутствует защита от кликджекинга (clickjacking), что позволяет злоумышленнику встраивать страницу в iframe и выполнять действия от имени пользователя.</w:t>
      </w:r>
    </w:p>
    <w:p>
      <w:pPr>
        <w:numPr>
          <w:ilvl w:val="0"/>
          <w:numId w:val="1003"/>
        </w:numPr>
        <w:pStyle w:val="Compact"/>
      </w:pPr>
      <w:r>
        <w:t xml:space="preserve">X-Content-Type-Options: Не установлен заголовок, что может привести к MIME-sniffing атакам, когда браузер неправильно интерпретирует тип контента.</w:t>
      </w:r>
    </w:p>
    <w:p>
      <w:pPr>
        <w:numPr>
          <w:ilvl w:val="0"/>
          <w:numId w:val="1004"/>
        </w:numPr>
        <w:pStyle w:val="Compact"/>
      </w:pPr>
      <w:r>
        <w:t xml:space="preserve">Раскрытие системных файлов:</w:t>
      </w:r>
    </w:p>
    <w:p>
      <w:pPr>
        <w:numPr>
          <w:ilvl w:val="0"/>
          <w:numId w:val="1005"/>
        </w:numPr>
        <w:pStyle w:val="Compact"/>
      </w:pPr>
      <w:r>
        <w:t xml:space="preserve">Доступ к /etc/hosts: Добавление лишнего / в URL (например, //etc/hosts) позволяет читать системные файлы. Это критическая уязвимость, так как злоумышленник может получить доступ к конфиденциальной информации.</w:t>
      </w:r>
    </w:p>
    <w:p>
      <w:pPr>
        <w:numPr>
          <w:ilvl w:val="0"/>
          <w:numId w:val="1005"/>
        </w:numPr>
        <w:pStyle w:val="Compact"/>
      </w:pPr>
      <w:r>
        <w:t xml:space="preserve">Раскрытие Apache-информации: Доступ к /server-status может предоставить злоумышленнику детали о сервере и его активности.</w:t>
      </w:r>
    </w:p>
    <w:p>
      <w:pPr>
        <w:numPr>
          <w:ilvl w:val="0"/>
          <w:numId w:val="1006"/>
        </w:numPr>
        <w:pStyle w:val="Compact"/>
      </w:pPr>
      <w:r>
        <w:t xml:space="preserve">PHP-бэкдоры и файловые менеджеры:</w:t>
      </w:r>
    </w:p>
    <w:p>
      <w:pPr>
        <w:numPr>
          <w:ilvl w:val="0"/>
          <w:numId w:val="1007"/>
        </w:numPr>
        <w:pStyle w:val="Compact"/>
      </w:pPr>
      <w:r>
        <w:t xml:space="preserve">Обнаружены подозрительные PHP-файлы (например, server.php, meta.php), которые могут быть бэкдорами или файловыми менеджерами. Примеры:</w:t>
      </w:r>
    </w:p>
    <w:p>
      <w:pPr>
        <w:numPr>
          <w:ilvl w:val="1"/>
          <w:numId w:val="1008"/>
        </w:numPr>
        <w:pStyle w:val="Compact"/>
      </w:pPr>
      <w:r>
        <w:t xml:space="preserve">/wp-content/themes/twentyeleven/images/headers/server.php?filesrc=/etc/hosts</w:t>
      </w:r>
    </w:p>
    <w:p>
      <w:pPr>
        <w:numPr>
          <w:ilvl w:val="1"/>
          <w:numId w:val="1008"/>
        </w:numPr>
        <w:pStyle w:val="Compact"/>
      </w:pPr>
      <w:r>
        <w:t xml:space="preserve">/assets/mobirise/css/meta.php?filesrc=</w:t>
      </w:r>
    </w:p>
    <w:p>
      <w:pPr>
        <w:numPr>
          <w:ilvl w:val="1"/>
          <w:numId w:val="1008"/>
        </w:numPr>
        <w:pStyle w:val="Compact"/>
      </w:pPr>
      <w:r>
        <w:t xml:space="preserve">/shell?cat=/etc/hosts</w:t>
      </w:r>
    </w:p>
    <w:p>
      <w:pPr>
        <w:numPr>
          <w:ilvl w:val="0"/>
          <w:numId w:val="1007"/>
        </w:numPr>
        <w:pStyle w:val="Compact"/>
      </w:pPr>
      <w:r>
        <w:t xml:space="preserve">Эти файлы позволяют злоумышленнику читать и, возможно, изменять файлы на сервере.</w:t>
      </w:r>
    </w:p>
    <w:p>
      <w:pPr>
        <w:pStyle w:val="FirstParagraph"/>
      </w:pPr>
      <w:r>
        <w:t xml:space="preserve">Backdoor — вредоносная программа, а иногда намеренно оставленная лазейка в коде легальной программы, которая предоставляет доступ к устройству для несанкционированных действий. Бэкдор в точности соответствует своему названию (от англ. back door — «черный ход»): скрытно впускает злоумышленника в систему, наделяя правами администратора.</w:t>
      </w:r>
    </w:p>
    <w:p>
      <w:pPr>
        <w:numPr>
          <w:ilvl w:val="0"/>
          <w:numId w:val="1009"/>
        </w:numPr>
        <w:pStyle w:val="Compact"/>
      </w:pPr>
      <w:r>
        <w:t xml:space="preserve">Уязвимости в директориях:</w:t>
      </w:r>
    </w:p>
    <w:p>
      <w:pPr>
        <w:numPr>
          <w:ilvl w:val="0"/>
          <w:numId w:val="1010"/>
        </w:numPr>
        <w:pStyle w:val="Compact"/>
      </w:pPr>
      <w:r>
        <w:t xml:space="preserve">Индексация директорий: Найдены открытые директории (/DVWA/config/, /DVWA/database/, /DVWA/docs/), что позволяет злоумышленнику просматривать их содержимое без аутентификации.</w:t>
      </w:r>
    </w:p>
    <w:p>
      <w:pPr>
        <w:numPr>
          <w:ilvl w:val="0"/>
          <w:numId w:val="1010"/>
        </w:numPr>
        <w:pStyle w:val="Compact"/>
      </w:pPr>
      <w:r>
        <w:t xml:space="preserve">Git-репозиторий: Обнаружены файлы .git/index, .git/HEAD, .git/config, что может привести к утечке исходного кода, если репозиторий не защищен.</w:t>
      </w:r>
    </w:p>
    <w:p>
      <w:pPr>
        <w:numPr>
          <w:ilvl w:val="0"/>
          <w:numId w:val="1011"/>
        </w:numPr>
        <w:pStyle w:val="Compact"/>
      </w:pPr>
      <w:r>
        <w:t xml:space="preserve">Уязвимости в CMS (WordPress):</w:t>
      </w:r>
    </w:p>
    <w:p>
      <w:pPr>
        <w:numPr>
          <w:ilvl w:val="0"/>
          <w:numId w:val="1012"/>
        </w:numPr>
        <w:pStyle w:val="Compact"/>
      </w:pPr>
      <w:r>
        <w:t xml:space="preserve">Найдены пути, связанные с WordPress (например, /wordpress/wp-includes/…), что указывает на возможное использование устаревших или уязвимых версий плагинов/тем.</w:t>
      </w:r>
    </w:p>
    <w:p>
      <w:pPr>
        <w:numPr>
          <w:ilvl w:val="0"/>
          <w:numId w:val="1013"/>
        </w:numPr>
        <w:pStyle w:val="Compact"/>
      </w:pPr>
      <w:r>
        <w:t xml:space="preserve">Уязвимости в маршрутизаторах:</w:t>
      </w:r>
    </w:p>
    <w:p>
      <w:pPr>
        <w:numPr>
          <w:ilvl w:val="0"/>
          <w:numId w:val="1014"/>
        </w:numPr>
        <w:pStyle w:val="Compact"/>
      </w:pPr>
      <w:r>
        <w:t xml:space="preserve">/login.cgi?cli=aa%20aa%22cat%20/etc/hosts: Уязвимость, связанная с D-Link router, позволяющая выполнять удаленные команды</w:t>
      </w:r>
    </w:p>
    <w:bookmarkEnd w:id="38"/>
    <w:bookmarkEnd w:id="39"/>
    <w:bookmarkStart w:id="4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4-ого этапа индивидуального проекта мы научились использовать сканер nikto для тестирования веб-приложений.</w:t>
      </w:r>
    </w:p>
    <w:bookmarkEnd w:id="40"/>
    <w:bookmarkStart w:id="41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numPr>
          <w:ilvl w:val="0"/>
          <w:numId w:val="1015"/>
        </w:numPr>
        <w:pStyle w:val="Compact"/>
      </w:pPr>
      <w:r>
        <w:t xml:space="preserve">Этапы реализации проекта [Электронный ресурс] URL: https://esystem.rudn.ru/mod/page/view.php?id=1220336</w:t>
      </w:r>
    </w:p>
    <w:p>
      <w:pPr>
        <w:numPr>
          <w:ilvl w:val="0"/>
          <w:numId w:val="1015"/>
        </w:numPr>
        <w:pStyle w:val="Compact"/>
      </w:pPr>
      <w:r>
        <w:t xml:space="preserve">Обзор сканера Nikto для поиска уязвимостей в веб-серверах [Электронный ресурс] URL: https://habr.com/ru/companies/first/articles/731696/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1"/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1"/>
  </w:num>
  <w:num w:numId="101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выполнению 4-ого этапа индивидуального проекта</dc:title>
  <dc:creator>Верниковская Екатерина Андреевна</dc:creator>
  <dc:language>ru-RU</dc:language>
  <cp:keywords/>
  <dcterms:created xsi:type="dcterms:W3CDTF">2025-05-02T19:46:43Z</dcterms:created>
  <dcterms:modified xsi:type="dcterms:W3CDTF">2025-05-02T19:46:43Z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