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выполнению</w:t>
      </w:r>
      <w:r>
        <w:t xml:space="preserve"> </w:t>
      </w:r>
      <w:r>
        <w:t xml:space="preserve">3-ого</w:t>
      </w:r>
      <w:r>
        <w:t xml:space="preserve"> </w:t>
      </w:r>
      <w:r>
        <w:t xml:space="preserve">этапа</w:t>
      </w:r>
      <w:r>
        <w:t xml:space="preserve"> </w:t>
      </w:r>
      <w:r>
        <w:t xml:space="preserve">индивидуального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Основы</w:t>
      </w:r>
      <w:r>
        <w:t xml:space="preserve"> </w:t>
      </w:r>
      <w:r>
        <w:t xml:space="preserve">информационной</w:t>
      </w:r>
      <w:r>
        <w:t xml:space="preserve"> </w:t>
      </w:r>
      <w:r>
        <w:t xml:space="preserve">безопасности</w:t>
      </w:r>
    </w:p>
    <w:p>
      <w:pPr>
        <w:pStyle w:val="Author"/>
      </w:pPr>
      <w:r>
        <w:t xml:space="preserve">Верниковская</w:t>
      </w:r>
      <w:r>
        <w:t xml:space="preserve"> </w:t>
      </w:r>
      <w:r>
        <w:t xml:space="preserve">Екатерина</w:t>
      </w:r>
      <w:r>
        <w:t xml:space="preserve"> </w:t>
      </w:r>
      <w:r>
        <w:t xml:space="preserve">Андреевна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использованию инструмента Hydra для бутфорса паролей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Реалзовать эксплуатацию уязвимости с помощью бутфорса паролей</w:t>
      </w:r>
    </w:p>
    <w:bookmarkEnd w:id="21"/>
    <w:bookmarkStart w:id="49" w:name="Xd805487a554380ea41542be31800a4186d6bf12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3-ого этапа индивидуального проекта</w:t>
      </w:r>
    </w:p>
    <w:bookmarkStart w:id="31" w:name="распаковка-архива-с-паролями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Распаковка архива с паролями</w:t>
      </w:r>
    </w:p>
    <w:p>
      <w:pPr>
        <w:pStyle w:val="FirstParagraph"/>
      </w:pPr>
      <w:r>
        <w:t xml:space="preserve">Чтобы пробутфорсить пароль, нужно для начала найти большой список часто используемых паролей. Возьмём стандартный список паролей rockyou.txt для kali linux(рис. 1)</w:t>
      </w:r>
    </w:p>
    <w:p>
      <w:pPr>
        <w:pStyle w:val="CaptionedFigure"/>
      </w:pPr>
      <w:r>
        <w:drawing>
          <wp:inline>
            <wp:extent cx="3733800" cy="895940"/>
            <wp:effectExtent b="0" l="0" r="0" t="0"/>
            <wp:docPr descr="Загрузка архива со списком паролей" title="" id="23" name="Picture"/>
            <a:graphic>
              <a:graphicData uri="http://schemas.openxmlformats.org/drawingml/2006/picture">
                <pic:pic>
                  <pic:nvPicPr>
                    <pic:cNvPr descr="image/ИП3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Загрузка архива со списком паролей</w:t>
      </w:r>
    </w:p>
    <w:p>
      <w:pPr>
        <w:pStyle w:val="BodyText"/>
      </w:pPr>
      <w:r>
        <w:t xml:space="preserve">Далее распакуем архив командой</w:t>
      </w:r>
      <w:r>
        <w:t xml:space="preserve"> </w:t>
      </w:r>
      <w:r>
        <w:rPr>
          <w:iCs/>
          <w:i/>
        </w:rPr>
        <w:t xml:space="preserve">sudo gzip -d</w:t>
      </w:r>
      <w:r>
        <w:t xml:space="preserve">. Нужно сделать так, чтобы файл rockyou.txt находился в домашней директории (рис. 2), (рис. 3)</w:t>
      </w:r>
    </w:p>
    <w:p>
      <w:pPr>
        <w:pStyle w:val="CaptionedFigure"/>
      </w:pPr>
      <w:r>
        <w:drawing>
          <wp:inline>
            <wp:extent cx="3733800" cy="1223594"/>
            <wp:effectExtent b="0" l="0" r="0" t="0"/>
            <wp:docPr descr="Распаковка архива со списком паролей" title="" id="26" name="Picture"/>
            <a:graphic>
              <a:graphicData uri="http://schemas.openxmlformats.org/drawingml/2006/picture">
                <pic:pic>
                  <pic:nvPicPr>
                    <pic:cNvPr descr="image/ИП3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2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Распаковка архива со списком паролей</w:t>
      </w:r>
    </w:p>
    <w:p>
      <w:pPr>
        <w:pStyle w:val="CaptionedFigure"/>
      </w:pPr>
      <w:r>
        <w:drawing>
          <wp:inline>
            <wp:extent cx="3733800" cy="386072"/>
            <wp:effectExtent b="0" l="0" r="0" t="0"/>
            <wp:docPr descr="Файл со списком паролей в домашней директори" title="" id="29" name="Picture"/>
            <a:graphic>
              <a:graphicData uri="http://schemas.openxmlformats.org/drawingml/2006/picture">
                <pic:pic>
                  <pic:nvPicPr>
                    <pic:cNvPr descr="image/ИП3_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Файл со списком паролей в домашней директори</w:t>
      </w:r>
    </w:p>
    <w:bookmarkEnd w:id="31"/>
    <w:bookmarkStart w:id="38" w:name="настройка-cooki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Настройка cookie</w:t>
      </w:r>
    </w:p>
    <w:p>
      <w:pPr>
        <w:pStyle w:val="FirstParagraph"/>
      </w:pPr>
      <w:r>
        <w:t xml:space="preserve">Далее зайдём на сайт DVWA, который был получен в ходе предыдущего этапа индивидуального проекта. Для запроса hydra, который мы будем исползовать позже, нам понадобятся параметры cookie с этого сайта. Для того чтобы получить информацию о параметрах cookie надо установить расширение для браузера (рис. 4)</w:t>
      </w:r>
    </w:p>
    <w:p>
      <w:pPr>
        <w:pStyle w:val="CaptionedFigure"/>
      </w:pPr>
      <w:r>
        <w:drawing>
          <wp:inline>
            <wp:extent cx="3733800" cy="2045580"/>
            <wp:effectExtent b="0" l="0" r="0" t="0"/>
            <wp:docPr descr="Установка расширения" title="" id="33" name="Picture"/>
            <a:graphic>
              <a:graphicData uri="http://schemas.openxmlformats.org/drawingml/2006/picture">
                <pic:pic>
                  <pic:nvPicPr>
                    <pic:cNvPr descr="image/ИП3_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45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Установка расширения</w:t>
      </w:r>
    </w:p>
    <w:p>
      <w:pPr>
        <w:pStyle w:val="BodyText"/>
      </w:pPr>
      <w:r>
        <w:t xml:space="preserve">Теперь мы можем увидеть параметры cookie, а также можем их скопировать (рис. 5)</w:t>
      </w:r>
    </w:p>
    <w:p>
      <w:pPr>
        <w:pStyle w:val="CaptionedFigure"/>
      </w:pPr>
      <w:r>
        <w:drawing>
          <wp:inline>
            <wp:extent cx="2543175" cy="5553075"/>
            <wp:effectExtent b="0" l="0" r="0" t="0"/>
            <wp:docPr descr="Параметры cookie" title="" id="36" name="Picture"/>
            <a:graphic>
              <a:graphicData uri="http://schemas.openxmlformats.org/drawingml/2006/picture">
                <pic:pic>
                  <pic:nvPicPr>
                    <pic:cNvPr descr="image/ИП3_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5553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Параметры cookie</w:t>
      </w:r>
    </w:p>
    <w:bookmarkEnd w:id="38"/>
    <w:bookmarkStart w:id="48" w:name="запрос-к-hydr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Запрос к hydra</w:t>
      </w:r>
    </w:p>
    <w:p>
      <w:pPr>
        <w:pStyle w:val="FirstParagraph"/>
      </w:pPr>
      <w:r>
        <w:t xml:space="preserve">Теперь вводим в hydra запрос нужную информацию. Пароль будем подбирать для пользователя admin, используя get-запрос с двумя праметрами cookie (security и PHPSESSID). Для этого введём команду</w:t>
      </w:r>
      <w:r>
        <w:t xml:space="preserve"> </w:t>
      </w:r>
      <w:r>
        <w:rPr>
          <w:iCs/>
          <w:i/>
        </w:rPr>
        <w:t xml:space="preserve">hydra -l admin -P ~/rockyou.txt -s 80 localhost http-get-form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/DVWA/vulnerabilities/brute/:username=</w:t>
      </w:r>
      <w:r>
        <w:rPr>
          <w:vertAlign w:val="superscript"/>
          <w:iCs/>
          <w:i/>
        </w:rPr>
        <w:t xml:space="preserve">USER</w:t>
      </w:r>
      <w:r>
        <w:rPr>
          <w:iCs/>
          <w:i/>
        </w:rPr>
        <w:t xml:space="preserve">&amp;password=</w:t>
      </w:r>
      <w:r>
        <w:rPr>
          <w:vertAlign w:val="superscript"/>
          <w:iCs/>
          <w:i/>
        </w:rPr>
        <w:t xml:space="preserve">PASS</w:t>
      </w:r>
      <w:r>
        <w:rPr>
          <w:iCs/>
          <w:i/>
        </w:rPr>
        <w:t xml:space="preserve">&amp;Login=Login:H=Cookie:security=medium; PHPSESSID=mo5of0gko8op9bf62bhsbefkc1:F=Username and/or password incorrect.</w:t>
      </w:r>
      <w:r>
        <w:rPr>
          <w:iCs/>
          <w:i/>
        </w:rPr>
        <w:t xml:space="preserve">”</w:t>
      </w:r>
      <w:r>
        <w:t xml:space="preserve"> </w:t>
      </w:r>
      <w:r>
        <w:t xml:space="preserve">(рис. 6)</w:t>
      </w:r>
    </w:p>
    <w:p>
      <w:pPr>
        <w:pStyle w:val="CaptionedFigure"/>
      </w:pPr>
      <w:r>
        <w:drawing>
          <wp:inline>
            <wp:extent cx="3733800" cy="966395"/>
            <wp:effectExtent b="0" l="0" r="0" t="0"/>
            <wp:docPr descr="Запрос к hydra" title="" id="40" name="Picture"/>
            <a:graphic>
              <a:graphicData uri="http://schemas.openxmlformats.org/drawingml/2006/picture">
                <pic:pic>
                  <pic:nvPicPr>
                    <pic:cNvPr descr="image/ИП3_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6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Запрос к hydra</w:t>
      </w:r>
    </w:p>
    <w:p>
      <w:pPr>
        <w:pStyle w:val="BodyText"/>
      </w:pPr>
      <w:r>
        <w:t xml:space="preserve">Спустя время появится результат с подходящим паролем. Введём полученные данные на сайт для проверки. После мы получим положительный результат проверки пароля. Всё правильно и всё хорошо!!! (рис. 7), (рис. 8)</w:t>
      </w:r>
    </w:p>
    <w:p>
      <w:pPr>
        <w:pStyle w:val="CaptionedFigure"/>
      </w:pPr>
      <w:r>
        <w:drawing>
          <wp:inline>
            <wp:extent cx="3733800" cy="1982856"/>
            <wp:effectExtent b="0" l="0" r="0" t="0"/>
            <wp:docPr descr="Ввод полученного результата в уязвимую форму" title="" id="43" name="Picture"/>
            <a:graphic>
              <a:graphicData uri="http://schemas.openxmlformats.org/drawingml/2006/picture">
                <pic:pic>
                  <pic:nvPicPr>
                    <pic:cNvPr descr="image/ИП3_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8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Ввод полученного результата в уязвимую форму</w:t>
      </w:r>
    </w:p>
    <w:p>
      <w:pPr>
        <w:pStyle w:val="CaptionedFigure"/>
      </w:pPr>
      <w:r>
        <w:drawing>
          <wp:inline>
            <wp:extent cx="3733800" cy="2250797"/>
            <wp:effectExtent b="0" l="0" r="0" t="0"/>
            <wp:docPr descr="Результат" title="" id="46" name="Picture"/>
            <a:graphic>
              <a:graphicData uri="http://schemas.openxmlformats.org/drawingml/2006/picture">
                <pic:pic>
                  <pic:nvPicPr>
                    <pic:cNvPr descr="image/ИП3_8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50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Результат</w:t>
      </w:r>
    </w:p>
    <w:bookmarkEnd w:id="48"/>
    <w:bookmarkEnd w:id="49"/>
    <w:bookmarkStart w:id="5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3-ого этапа индивидуального проекта мы приобрели практические навыки работы по использованию инструмента hydra для бутфорса паролей.</w:t>
      </w:r>
    </w:p>
    <w:bookmarkEnd w:id="50"/>
    <w:bookmarkStart w:id="51" w:name="список-литератур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Этапы реализации проекта [Электронный ресурс] URL: https://esystem.rudn.ru/mod/page/view.php?id=1220336</w:t>
      </w:r>
    </w:p>
    <w:p>
      <w:pPr>
        <w:numPr>
          <w:ilvl w:val="0"/>
          <w:numId w:val="1002"/>
        </w:numPr>
        <w:pStyle w:val="Compact"/>
      </w:pPr>
      <w:r>
        <w:t xml:space="preserve">Словарь Rockyou.txt где находится в Kali Linux и как скачать [Электронный ресурс] URL: https://spy-soft.net/rockyou-txt/</w:t>
      </w:r>
    </w:p>
    <w:p>
      <w:pPr>
        <w:numPr>
          <w:ilvl w:val="0"/>
          <w:numId w:val="1002"/>
        </w:numPr>
        <w:pStyle w:val="Compact"/>
      </w:pPr>
      <w:r>
        <w:t xml:space="preserve">How to Brute Force Attack on Web Forms? [Step-by-Step] [Электронный ресурс] URL: https://www.golinuxcloud.com/brute-force-attack-web-forms/</w:t>
      </w:r>
    </w:p>
    <w:p>
      <w:pPr>
        <w:numPr>
          <w:ilvl w:val="0"/>
          <w:numId w:val="1002"/>
        </w:numPr>
        <w:pStyle w:val="Compact"/>
      </w:pPr>
      <w:r>
        <w:t xml:space="preserve">Расширение Cookie-Editor [Step-by-Step] [Электронный ресурс] URL: https://addons.mozilla.org/en-US/firefox/addon/cookie-editor/?utm_campaign=external-cookie-editor.com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3-ого этапа индивидуального проекта</dc:title>
  <dc:creator>Верниковская Екатерина Андреевна</dc:creator>
  <dc:language>ru-RU</dc:language>
  <cp:keywords/>
  <dcterms:created xsi:type="dcterms:W3CDTF">2025-04-10T14:48:59Z</dcterms:created>
  <dcterms:modified xsi:type="dcterms:W3CDTF">2025-04-10T14:48:59Z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PT Serif</vt:lpwstr>
  </property>
  <property fmtid="{D5CDD505-2E9C-101B-9397-08002B2CF9AE}" pid="59" name="mainfontoptions">
    <vt:lpwstr>Ligatures=TeX</vt:lpwstr>
  </property>
  <property fmtid="{D5CDD505-2E9C-101B-9397-08002B2CF9AE}" pid="60" name="monofont">
    <vt:lpwstr>PT Mono</vt:lpwstr>
  </property>
  <property fmtid="{D5CDD505-2E9C-101B-9397-08002B2CF9AE}" pid="61" name="monofontoptions">
    <vt:lpwstr>Scale=MatchLowercase,Scale=0.9</vt:lpwstr>
  </property>
  <property fmtid="{D5CDD505-2E9C-101B-9397-08002B2CF9AE}" pid="62" name="nameInLink">
    <vt:lpwstr>False</vt:lpwstr>
  </property>
  <property fmtid="{D5CDD505-2E9C-101B-9397-08002B2CF9AE}" pid="63" name="numberSections">
    <vt:lpwstr>False</vt:lpwstr>
  </property>
  <property fmtid="{D5CDD505-2E9C-101B-9397-08002B2CF9AE}" pid="64" name="pairDelim">
    <vt:lpwstr>, </vt:lpwstr>
  </property>
  <property fmtid="{D5CDD505-2E9C-101B-9397-08002B2CF9AE}" pid="65" name="papersize">
    <vt:lpwstr>a4</vt:lpwstr>
  </property>
  <property fmtid="{D5CDD505-2E9C-101B-9397-08002B2CF9AE}" pid="66" name="polyglossia-lang">
    <vt:lpwstr/>
  </property>
  <property fmtid="{D5CDD505-2E9C-101B-9397-08002B2CF9AE}" pid="67" name="polyglossia-otherlangs">
    <vt:lpwstr/>
  </property>
  <property fmtid="{D5CDD505-2E9C-101B-9397-08002B2CF9AE}" pid="68" name="rangeDelim">
    <vt:lpwstr>-</vt:lpwstr>
  </property>
  <property fmtid="{D5CDD505-2E9C-101B-9397-08002B2CF9AE}" pid="69" name="refDelim">
    <vt:lpwstr>, </vt:lpwstr>
  </property>
  <property fmtid="{D5CDD505-2E9C-101B-9397-08002B2CF9AE}" pid="70" name="refIndexTemplate">
    <vt:lpwstr>isuf</vt:lpwstr>
  </property>
  <property fmtid="{D5CDD505-2E9C-101B-9397-08002B2CF9AE}" pid="71" name="romanfont">
    <vt:lpwstr>PT Serif</vt:lpwstr>
  </property>
  <property fmtid="{D5CDD505-2E9C-101B-9397-08002B2CF9AE}" pid="72" name="romanfontoptions">
    <vt:lpwstr>Ligatures=TeX</vt:lpwstr>
  </property>
  <property fmtid="{D5CDD505-2E9C-101B-9397-08002B2CF9AE}" pid="73" name="sansfont">
    <vt:lpwstr>PT Sans</vt:lpwstr>
  </property>
  <property fmtid="{D5CDD505-2E9C-101B-9397-08002B2CF9AE}" pid="74" name="sansfontoptions">
    <vt:lpwstr>Ligatures=TeX,Scale=MatchLowercase</vt:lpwstr>
  </property>
  <property fmtid="{D5CDD505-2E9C-101B-9397-08002B2CF9AE}" pid="75" name="secHeaderDelim">
    <vt:lpwstr> </vt:lpwstr>
  </property>
  <property fmtid="{D5CDD505-2E9C-101B-9397-08002B2CF9AE}" pid="76" name="secHeaderTemplate">
    <vt:lpwstr>isecHeaderDelim[n]t</vt:lpwstr>
  </property>
  <property fmtid="{D5CDD505-2E9C-101B-9397-08002B2CF9AE}" pid="77" name="secLabels">
    <vt:lpwstr>arabic</vt:lpwstr>
  </property>
  <property fmtid="{D5CDD505-2E9C-101B-9397-08002B2CF9AE}" pid="78" name="secPrefix">
    <vt:lpwstr/>
  </property>
  <property fmtid="{D5CDD505-2E9C-101B-9397-08002B2CF9AE}" pid="79" name="secPrefixTemplate">
    <vt:lpwstr>p i</vt:lpwstr>
  </property>
  <property fmtid="{D5CDD505-2E9C-101B-9397-08002B2CF9AE}" pid="80" name="sectionsDepth">
    <vt:lpwstr>0</vt:lpwstr>
  </property>
  <property fmtid="{D5CDD505-2E9C-101B-9397-08002B2CF9AE}" pid="81" name="subfigGrid">
    <vt:lpwstr>False</vt:lpwstr>
  </property>
  <property fmtid="{D5CDD505-2E9C-101B-9397-08002B2CF9AE}" pid="82" name="subfigLabels">
    <vt:lpwstr>alpha a</vt:lpwstr>
  </property>
  <property fmtid="{D5CDD505-2E9C-101B-9397-08002B2CF9AE}" pid="83" name="subfigureChildTemplate">
    <vt:lpwstr>i</vt:lpwstr>
  </property>
  <property fmtid="{D5CDD505-2E9C-101B-9397-08002B2CF9AE}" pid="84" name="subfigureRefIndexTemplate">
    <vt:lpwstr>isuf (s)</vt:lpwstr>
  </property>
  <property fmtid="{D5CDD505-2E9C-101B-9397-08002B2CF9AE}" pid="85" name="subfigureTemplate">
    <vt:lpwstr>figureTitle ititleDelim t. ccs</vt:lpwstr>
  </property>
  <property fmtid="{D5CDD505-2E9C-101B-9397-08002B2CF9AE}" pid="86" name="subtitle">
    <vt:lpwstr>Дисциплина: Основы информационной безопасности</vt:lpwstr>
  </property>
  <property fmtid="{D5CDD505-2E9C-101B-9397-08002B2CF9AE}" pid="87" name="tableEqns">
    <vt:lpwstr>False</vt:lpwstr>
  </property>
  <property fmtid="{D5CDD505-2E9C-101B-9397-08002B2CF9AE}" pid="88" name="tableTemplate">
    <vt:lpwstr>tableTitle ititleDelim t</vt:lpwstr>
  </property>
  <property fmtid="{D5CDD505-2E9C-101B-9397-08002B2CF9AE}" pid="89" name="tableTitle">
    <vt:lpwstr>Таблица</vt:lpwstr>
  </property>
  <property fmtid="{D5CDD505-2E9C-101B-9397-08002B2CF9AE}" pid="90" name="tblLabels">
    <vt:lpwstr>arabic</vt:lpwstr>
  </property>
  <property fmtid="{D5CDD505-2E9C-101B-9397-08002B2CF9AE}" pid="91" name="tblPrefix">
    <vt:lpwstr/>
  </property>
  <property fmtid="{D5CDD505-2E9C-101B-9397-08002B2CF9AE}" pid="92" name="tblPrefixTemplate">
    <vt:lpwstr>p i</vt:lpwstr>
  </property>
  <property fmtid="{D5CDD505-2E9C-101B-9397-08002B2CF9AE}" pid="93" name="titleDelim">
    <vt:lpwstr>:</vt:lpwstr>
  </property>
  <property fmtid="{D5CDD505-2E9C-101B-9397-08002B2CF9AE}" pid="94" name="toc">
    <vt:lpwstr>True</vt:lpwstr>
  </property>
  <property fmtid="{D5CDD505-2E9C-101B-9397-08002B2CF9AE}" pid="95" name="toc-depth">
    <vt:lpwstr>2</vt:lpwstr>
  </property>
  <property fmtid="{D5CDD505-2E9C-101B-9397-08002B2CF9AE}" pid="96" name="toc-title">
    <vt:lpwstr>Содержание</vt:lpwstr>
  </property>
</Properties>
</file>